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1d28ac88da04fb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165BB" w:rsidP="00D165BB">
            <w:pPr>
              <w:rPr>
                <w:b/>
              </w:rPr>
            </w:pPr>
            <w:r>
              <w:rPr>
                <w:rStyle w:val="Firstpagetablebold"/>
              </w:rPr>
              <w:t>11 May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165BB"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165BB" w:rsidP="00D165BB">
            <w:pPr>
              <w:keepNext/>
              <w:keepLines/>
              <w:spacing w:line="300" w:lineRule="auto"/>
              <w:jc w:val="both"/>
              <w:outlineLvl w:val="0"/>
              <w:rPr>
                <w:rStyle w:val="Firstpagetablebold"/>
              </w:rPr>
            </w:pPr>
            <w:r w:rsidRPr="00D165BB">
              <w:rPr>
                <w:b/>
                <w:bCs/>
                <w:szCs w:val="28"/>
              </w:rPr>
              <w:t>Fusion Lifestyle’s Annual Service Plan 2017/18.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4E7BE4" w:rsidTr="0080749A">
        <w:tc>
          <w:tcPr>
            <w:tcW w:w="2438" w:type="dxa"/>
            <w:gridSpan w:val="2"/>
            <w:tcBorders>
              <w:top w:val="single" w:sz="8" w:space="0" w:color="000000"/>
              <w:left w:val="single" w:sz="8" w:space="0" w:color="000000"/>
              <w:bottom w:val="nil"/>
              <w:right w:val="nil"/>
            </w:tcBorders>
            <w:hideMark/>
          </w:tcPr>
          <w:p w:rsidR="004E7BE4" w:rsidRDefault="004E7BE4">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E7BE4" w:rsidRPr="001356F1" w:rsidRDefault="004E7BE4" w:rsidP="009E796D">
            <w:r w:rsidRPr="007662D9">
              <w:rPr>
                <w:rFonts w:cs="Arial"/>
              </w:rPr>
              <w:t xml:space="preserve">The report </w:t>
            </w:r>
            <w:r>
              <w:rPr>
                <w:rFonts w:cs="Arial"/>
              </w:rPr>
              <w:t xml:space="preserve">recommends </w:t>
            </w:r>
            <w:r w:rsidRPr="007662D9">
              <w:rPr>
                <w:rFonts w:cs="Arial"/>
              </w:rPr>
              <w:t xml:space="preserve">that the City Executive Board endorse Fusion Lifestyle’s </w:t>
            </w:r>
            <w:r w:rsidR="009E796D" w:rsidRPr="007662D9">
              <w:rPr>
                <w:rFonts w:cs="Arial"/>
              </w:rPr>
              <w:t>201</w:t>
            </w:r>
            <w:r w:rsidR="009E796D">
              <w:rPr>
                <w:rFonts w:cs="Arial"/>
              </w:rPr>
              <w:t>7</w:t>
            </w:r>
            <w:r w:rsidR="009E796D" w:rsidRPr="007662D9">
              <w:rPr>
                <w:rFonts w:cs="Arial"/>
              </w:rPr>
              <w:t>/1</w:t>
            </w:r>
            <w:r w:rsidR="009E796D">
              <w:rPr>
                <w:rFonts w:cs="Arial"/>
              </w:rPr>
              <w:t>8</w:t>
            </w:r>
            <w:r w:rsidR="009E796D">
              <w:rPr>
                <w:color w:val="auto"/>
              </w:rPr>
              <w:t xml:space="preserve"> </w:t>
            </w:r>
            <w:r w:rsidRPr="007662D9">
              <w:rPr>
                <w:rFonts w:cs="Arial"/>
              </w:rPr>
              <w:t xml:space="preserve">Annual Service Plan </w:t>
            </w:r>
            <w:r w:rsidR="009E796D">
              <w:rPr>
                <w:rFonts w:cs="Arial"/>
              </w:rPr>
              <w:t xml:space="preserve">for </w:t>
            </w:r>
            <w:r w:rsidR="009E796D" w:rsidRPr="001268E4">
              <w:rPr>
                <w:color w:val="auto"/>
              </w:rPr>
              <w:t>the continuous development, management and operation of leisure services in Oxford</w:t>
            </w:r>
            <w:r w:rsidR="009E796D">
              <w:rPr>
                <w:color w:val="auto"/>
              </w:rPr>
              <w:t>– as recommended by the Leisure Partnership Board.</w:t>
            </w:r>
          </w:p>
        </w:tc>
      </w:tr>
      <w:tr w:rsidR="004E7BE4" w:rsidTr="0080749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4E7BE4" w:rsidRPr="001356F1" w:rsidRDefault="004E7BE4" w:rsidP="004E7BE4">
            <w:r w:rsidRPr="001356F1">
              <w:t>Yes</w:t>
            </w:r>
          </w:p>
        </w:tc>
      </w:tr>
      <w:tr w:rsidR="004E7BE4" w:rsidTr="0080749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4E7BE4" w:rsidRPr="001356F1" w:rsidRDefault="004E7BE4" w:rsidP="00F330F5">
            <w:r w:rsidRPr="001356F1">
              <w:t>Cll</w:t>
            </w:r>
            <w:r w:rsidR="00F330F5">
              <w:t>r</w:t>
            </w:r>
            <w:r w:rsidRPr="001356F1">
              <w:t xml:space="preserve"> </w:t>
            </w:r>
            <w:r>
              <w:t>Linda Smith</w:t>
            </w:r>
            <w:r w:rsidR="00F330F5">
              <w:t xml:space="preserve">, Board Member for </w:t>
            </w:r>
            <w:r>
              <w:t>Leisure, Parks and Sport</w:t>
            </w:r>
          </w:p>
        </w:tc>
      </w:tr>
      <w:tr w:rsidR="004E7BE4" w:rsidTr="0080749A">
        <w:tc>
          <w:tcPr>
            <w:tcW w:w="2438" w:type="dxa"/>
            <w:gridSpan w:val="2"/>
            <w:tcBorders>
              <w:top w:val="nil"/>
              <w:left w:val="single" w:sz="8" w:space="0" w:color="000000"/>
              <w:bottom w:val="nil"/>
              <w:right w:val="nil"/>
            </w:tcBorders>
          </w:tcPr>
          <w:p w:rsidR="004E7BE4" w:rsidRDefault="004E7BE4">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4E7BE4" w:rsidRPr="001356F1" w:rsidRDefault="004E7BE4" w:rsidP="005F7F7E">
            <w:r>
              <w:t>Strong, Active Communities; Vibrant, Sustainable Economy; Cleaner, Greener Oxford City Council.</w:t>
            </w:r>
          </w:p>
        </w:tc>
      </w:tr>
      <w:tr w:rsidR="004E7BE4" w:rsidTr="0080749A">
        <w:tc>
          <w:tcPr>
            <w:tcW w:w="243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4E7BE4" w:rsidRPr="001356F1" w:rsidRDefault="004E7BE4" w:rsidP="005F7F7E">
            <w:r>
              <w:t>Leisure and Wellbeing Strategy, 2015 to 2020.</w:t>
            </w:r>
          </w:p>
        </w:tc>
      </w:tr>
      <w:tr w:rsidR="004E7BE4" w:rsidRPr="00975B07" w:rsidTr="004E7BE4">
        <w:trPr>
          <w:trHeight w:val="413"/>
        </w:trPr>
        <w:tc>
          <w:tcPr>
            <w:tcW w:w="8845" w:type="dxa"/>
            <w:gridSpan w:val="3"/>
            <w:tcBorders>
              <w:bottom w:val="single" w:sz="8" w:space="0" w:color="000000"/>
            </w:tcBorders>
          </w:tcPr>
          <w:p w:rsidR="004E7BE4" w:rsidRPr="00975B07" w:rsidRDefault="000C1F1F" w:rsidP="004A6D2F">
            <w:r>
              <w:rPr>
                <w:rStyle w:val="Firstpagetablebold"/>
              </w:rPr>
              <w:t>Recommendation</w:t>
            </w:r>
            <w:r w:rsidR="004E7BE4">
              <w:rPr>
                <w:rStyle w:val="Firstpagetablebold"/>
              </w:rPr>
              <w:t>:</w:t>
            </w:r>
            <w:r>
              <w:rPr>
                <w:rStyle w:val="Firstpagetablebold"/>
              </w:rPr>
              <w:t xml:space="preserve"> </w:t>
            </w:r>
            <w:r w:rsidR="004E7BE4" w:rsidRPr="000C1F1F">
              <w:rPr>
                <w:rStyle w:val="Firstpagetablebold"/>
                <w:b w:val="0"/>
              </w:rPr>
              <w:t>That the City Executive Board resolves to:</w:t>
            </w:r>
          </w:p>
        </w:tc>
      </w:tr>
      <w:tr w:rsidR="004E7BE4" w:rsidRPr="00975B07" w:rsidTr="004E7BE4">
        <w:trPr>
          <w:trHeight w:val="283"/>
        </w:trPr>
        <w:tc>
          <w:tcPr>
            <w:tcW w:w="426" w:type="dxa"/>
            <w:tcBorders>
              <w:top w:val="single" w:sz="8" w:space="0" w:color="000000"/>
              <w:left w:val="single" w:sz="8" w:space="0" w:color="000000"/>
              <w:bottom w:val="single" w:sz="4" w:space="0" w:color="auto"/>
              <w:right w:val="nil"/>
            </w:tcBorders>
          </w:tcPr>
          <w:p w:rsidR="004E7BE4" w:rsidRPr="00975B07" w:rsidRDefault="004E7BE4"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4E7BE4" w:rsidRPr="001356F1" w:rsidRDefault="004E7BE4" w:rsidP="001A497D">
            <w:r w:rsidRPr="00F330F5">
              <w:rPr>
                <w:rFonts w:cs="Arial"/>
                <w:b/>
              </w:rPr>
              <w:t>Endorse</w:t>
            </w:r>
            <w:r w:rsidRPr="00AE6BAA">
              <w:rPr>
                <w:rFonts w:cs="Arial"/>
              </w:rPr>
              <w:t xml:space="preserve"> the Fusion Lifestyle Annual Service Plan for 201</w:t>
            </w:r>
            <w:r w:rsidR="00CA4B03">
              <w:rPr>
                <w:rFonts w:cs="Arial"/>
              </w:rPr>
              <w:t>7</w:t>
            </w:r>
            <w:r w:rsidRPr="00AE6BAA">
              <w:rPr>
                <w:rFonts w:cs="Arial"/>
              </w:rPr>
              <w:t>/1</w:t>
            </w:r>
            <w:r w:rsidR="00CA4B03">
              <w:rPr>
                <w:rFonts w:cs="Arial"/>
              </w:rPr>
              <w:t>8</w:t>
            </w:r>
            <w:r w:rsidR="001A497D">
              <w:rPr>
                <w:rFonts w:cs="Arial"/>
              </w:rPr>
              <w:t xml:space="preserve"> as recommended by the Leisure Partnership Board.</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4E7BE4" w:rsidP="00F330F5">
            <w:r w:rsidRPr="007662D9">
              <w:rPr>
                <w:rFonts w:cs="Arial"/>
              </w:rPr>
              <w:t xml:space="preserve">Fusion Lifestyle’s Annual Service Plan </w:t>
            </w:r>
            <w:r w:rsidR="00F330F5">
              <w:rPr>
                <w:rFonts w:cs="Arial"/>
              </w:rPr>
              <w:t>2017/18</w:t>
            </w:r>
          </w:p>
        </w:tc>
      </w:tr>
      <w:tr w:rsidR="00ED5860" w:rsidRPr="00975B07" w:rsidTr="004E7BE4">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4E7BE4" w:rsidP="004A6D2F">
            <w:r>
              <w:t>Risk Register</w:t>
            </w:r>
          </w:p>
        </w:tc>
      </w:tr>
      <w:tr w:rsidR="0030208D" w:rsidRPr="00975B07" w:rsidTr="004E7BE4">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rsidR="0030208D" w:rsidRPr="001356F1" w:rsidRDefault="004E7BE4" w:rsidP="004A6D2F">
            <w:r>
              <w:t>Initial Equality Impact Assessment</w:t>
            </w:r>
          </w:p>
        </w:tc>
      </w:tr>
    </w:tbl>
    <w:p w:rsidR="00F330F5" w:rsidRDefault="00F330F5"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4E7BE4" w:rsidRPr="001268E4" w:rsidRDefault="004E7BE4" w:rsidP="004E7BE4">
      <w:pPr>
        <w:pStyle w:val="ListParagraph"/>
        <w:jc w:val="both"/>
        <w:rPr>
          <w:color w:val="auto"/>
        </w:rPr>
      </w:pPr>
      <w:r w:rsidRPr="001268E4">
        <w:rPr>
          <w:color w:val="auto"/>
        </w:rPr>
        <w:t xml:space="preserve">In March 2009 the </w:t>
      </w:r>
      <w:r w:rsidR="00250124">
        <w:rPr>
          <w:color w:val="auto"/>
        </w:rPr>
        <w:t>C</w:t>
      </w:r>
      <w:r w:rsidRPr="001268E4">
        <w:rPr>
          <w:color w:val="auto"/>
        </w:rPr>
        <w:t>ouncil entered into a contract with Fusion Lifestyle (Fusion) a social enterprise w</w:t>
      </w:r>
      <w:r w:rsidR="001268E4" w:rsidRPr="001268E4">
        <w:rPr>
          <w:color w:val="auto"/>
        </w:rPr>
        <w:t xml:space="preserve">ith charitable status for the continuous development, </w:t>
      </w:r>
      <w:r w:rsidR="00C0765F" w:rsidRPr="001268E4">
        <w:rPr>
          <w:color w:val="auto"/>
        </w:rPr>
        <w:t>manage</w:t>
      </w:r>
      <w:r w:rsidR="001268E4" w:rsidRPr="001268E4">
        <w:rPr>
          <w:color w:val="auto"/>
        </w:rPr>
        <w:t>ment and operation of leisure services in Oxford.</w:t>
      </w:r>
    </w:p>
    <w:p w:rsidR="004E7BE4" w:rsidRPr="001D248B" w:rsidRDefault="004E7BE4" w:rsidP="004E7BE4">
      <w:pPr>
        <w:pStyle w:val="ListParagraph"/>
        <w:jc w:val="both"/>
      </w:pPr>
      <w:r w:rsidRPr="001D248B">
        <w:rPr>
          <w:rFonts w:cs="Arial"/>
        </w:rPr>
        <w:t>In February 2014 the City Executive Board agreed to extend the contract for the development, management and operation of the City’s leisure centres for a five year period to April 2024.</w:t>
      </w:r>
    </w:p>
    <w:p w:rsidR="004E7BE4" w:rsidRPr="001D248B" w:rsidRDefault="004E7BE4" w:rsidP="004E7BE4">
      <w:pPr>
        <w:pStyle w:val="ListParagraph"/>
        <w:jc w:val="both"/>
      </w:pPr>
      <w:r w:rsidRPr="00562089">
        <w:rPr>
          <w:rFonts w:cs="Arial"/>
        </w:rPr>
        <w:lastRenderedPageBreak/>
        <w:t>Fusions 201</w:t>
      </w:r>
      <w:r w:rsidR="00B45EBF">
        <w:rPr>
          <w:rFonts w:cs="Arial"/>
        </w:rPr>
        <w:t>7</w:t>
      </w:r>
      <w:r w:rsidRPr="00562089">
        <w:rPr>
          <w:rFonts w:cs="Arial"/>
        </w:rPr>
        <w:t>/1</w:t>
      </w:r>
      <w:r w:rsidR="00B45EBF">
        <w:rPr>
          <w:rFonts w:cs="Arial"/>
        </w:rPr>
        <w:t>8</w:t>
      </w:r>
      <w:r w:rsidRPr="00562089">
        <w:rPr>
          <w:rFonts w:cs="Arial"/>
        </w:rPr>
        <w:t xml:space="preserve"> Annual Service Plan (Plan) builds on the Council’s approach to delivering world class leisure provision to Oxford</w:t>
      </w:r>
      <w:r>
        <w:rPr>
          <w:rFonts w:cs="Arial"/>
        </w:rPr>
        <w:t>’s</w:t>
      </w:r>
      <w:r w:rsidRPr="00562089">
        <w:rPr>
          <w:rFonts w:cs="Arial"/>
        </w:rPr>
        <w:t xml:space="preserve"> residents</w:t>
      </w:r>
      <w:r>
        <w:rPr>
          <w:rFonts w:cs="Arial"/>
        </w:rPr>
        <w:t>.</w:t>
      </w:r>
    </w:p>
    <w:p w:rsidR="00C30148" w:rsidRDefault="00C30148" w:rsidP="007B5E0A">
      <w:pPr>
        <w:pStyle w:val="ListParagraph"/>
        <w:jc w:val="both"/>
      </w:pPr>
      <w:r w:rsidRPr="00B57B74">
        <w:t xml:space="preserve">The contract </w:t>
      </w:r>
      <w:r>
        <w:t xml:space="preserve">with a social enterprise whose sole focus and extensive expertise is operating leisure facilities has greatly improved </w:t>
      </w:r>
      <w:r w:rsidRPr="00B57B74">
        <w:t xml:space="preserve">the user experience, alongside achieving </w:t>
      </w:r>
      <w:r>
        <w:t xml:space="preserve">increased cumulative cash </w:t>
      </w:r>
      <w:r w:rsidRPr="00B57B74">
        <w:t xml:space="preserve">savings </w:t>
      </w:r>
      <w:r>
        <w:t xml:space="preserve">of </w:t>
      </w:r>
      <w:r w:rsidRPr="00B57B74">
        <w:t xml:space="preserve">around </w:t>
      </w:r>
      <w:r w:rsidRPr="008C1618">
        <w:t>£1.94</w:t>
      </w:r>
      <w:r>
        <w:t xml:space="preserve"> million</w:t>
      </w:r>
      <w:r w:rsidRPr="00B57B74">
        <w:t xml:space="preserve"> per year</w:t>
      </w:r>
      <w:r>
        <w:t>.</w:t>
      </w:r>
    </w:p>
    <w:p w:rsidR="00C30148" w:rsidRDefault="00C30148" w:rsidP="007B5E0A">
      <w:pPr>
        <w:pStyle w:val="ListParagraph"/>
        <w:jc w:val="both"/>
      </w:pPr>
      <w:r w:rsidRPr="00415330">
        <w:t>The cost of the core leisure mana</w:t>
      </w:r>
      <w:r>
        <w:t>gement contract to the Council was</w:t>
      </w:r>
      <w:r w:rsidRPr="00415330">
        <w:t xml:space="preserve"> fixed according to an agreed payment schedule for the period of the contract. </w:t>
      </w:r>
      <w:r w:rsidRPr="008C1618">
        <w:t xml:space="preserve">From April 2015 and for the remainder of the contract Fusion now pay the </w:t>
      </w:r>
      <w:r w:rsidR="00250124">
        <w:t>C</w:t>
      </w:r>
      <w:r w:rsidRPr="008C1618">
        <w:t>ouncil for the management of facilities. This equates to around £3 million pounds savings to the council over the remaining contract period.</w:t>
      </w:r>
    </w:p>
    <w:p w:rsidR="004E7BE4" w:rsidRDefault="004E7BE4" w:rsidP="007B5E0A">
      <w:pPr>
        <w:pStyle w:val="ListParagraph"/>
        <w:jc w:val="both"/>
      </w:pPr>
      <w:r>
        <w:t xml:space="preserve">Over this period facilities have been greatly improved with around £15 million of </w:t>
      </w:r>
      <w:r w:rsidR="00C30148">
        <w:t xml:space="preserve">capital </w:t>
      </w:r>
      <w:r>
        <w:t>investment</w:t>
      </w:r>
      <w:r w:rsidR="004F36FA">
        <w:t xml:space="preserve"> by the Council</w:t>
      </w:r>
      <w:r>
        <w:t>, which ha</w:t>
      </w:r>
      <w:r w:rsidR="004F36FA">
        <w:t>s in the main been funded by increased income</w:t>
      </w:r>
      <w:r>
        <w:t>.</w:t>
      </w:r>
    </w:p>
    <w:p w:rsidR="005073AF" w:rsidRDefault="005073AF" w:rsidP="00C0765F">
      <w:pPr>
        <w:jc w:val="both"/>
        <w:rPr>
          <w:b/>
          <w:color w:val="auto"/>
        </w:rPr>
      </w:pPr>
    </w:p>
    <w:p w:rsidR="00C0765F" w:rsidRPr="001268E4" w:rsidRDefault="009E796D" w:rsidP="00C0765F">
      <w:pPr>
        <w:jc w:val="both"/>
        <w:rPr>
          <w:b/>
          <w:color w:val="auto"/>
        </w:rPr>
      </w:pPr>
      <w:r>
        <w:rPr>
          <w:b/>
          <w:color w:val="auto"/>
        </w:rPr>
        <w:t>Key a</w:t>
      </w:r>
      <w:r w:rsidR="00C0765F" w:rsidRPr="001268E4">
        <w:rPr>
          <w:b/>
          <w:color w:val="auto"/>
        </w:rPr>
        <w:t xml:space="preserve">chievements </w:t>
      </w:r>
      <w:r w:rsidR="001268E4" w:rsidRPr="001268E4">
        <w:rPr>
          <w:b/>
          <w:color w:val="auto"/>
        </w:rPr>
        <w:t>in 20</w:t>
      </w:r>
      <w:r w:rsidR="00C0765F" w:rsidRPr="001268E4">
        <w:rPr>
          <w:b/>
          <w:color w:val="auto"/>
        </w:rPr>
        <w:t>16/17</w:t>
      </w:r>
    </w:p>
    <w:p w:rsidR="001268E4" w:rsidRDefault="001268E4" w:rsidP="004E7BE4">
      <w:pPr>
        <w:pStyle w:val="ListParagraph"/>
        <w:tabs>
          <w:tab w:val="clear" w:pos="426"/>
          <w:tab w:val="left" w:pos="0"/>
        </w:tabs>
        <w:autoSpaceDE w:val="0"/>
        <w:autoSpaceDN w:val="0"/>
        <w:adjustRightInd w:val="0"/>
        <w:spacing w:after="0"/>
        <w:jc w:val="both"/>
        <w:rPr>
          <w:rFonts w:cs="Arial"/>
        </w:rPr>
      </w:pPr>
      <w:r w:rsidRPr="00295C37">
        <w:rPr>
          <w:rFonts w:cs="Arial"/>
        </w:rPr>
        <w:t>Leisure provision in the city is continuously improving since the collaboration with Fusion in 2009 and supports the Council’s strategic aims</w:t>
      </w:r>
      <w:r>
        <w:rPr>
          <w:rFonts w:cs="Arial"/>
        </w:rPr>
        <w:t>.</w:t>
      </w:r>
    </w:p>
    <w:p w:rsidR="001268E4" w:rsidRPr="001268E4" w:rsidRDefault="001268E4" w:rsidP="001268E4">
      <w:pPr>
        <w:pStyle w:val="ListParagraph"/>
        <w:numPr>
          <w:ilvl w:val="0"/>
          <w:numId w:val="0"/>
        </w:numPr>
        <w:tabs>
          <w:tab w:val="clear" w:pos="426"/>
          <w:tab w:val="left" w:pos="0"/>
        </w:tabs>
        <w:autoSpaceDE w:val="0"/>
        <w:autoSpaceDN w:val="0"/>
        <w:adjustRightInd w:val="0"/>
        <w:spacing w:after="0"/>
        <w:ind w:left="426"/>
        <w:jc w:val="both"/>
        <w:rPr>
          <w:rFonts w:cs="Arial"/>
        </w:rPr>
      </w:pPr>
    </w:p>
    <w:p w:rsidR="004E7BE4" w:rsidRDefault="004E7BE4" w:rsidP="004E7BE4">
      <w:pPr>
        <w:pStyle w:val="ListParagraph"/>
        <w:tabs>
          <w:tab w:val="clear" w:pos="426"/>
          <w:tab w:val="left" w:pos="0"/>
        </w:tabs>
        <w:autoSpaceDE w:val="0"/>
        <w:autoSpaceDN w:val="0"/>
        <w:adjustRightInd w:val="0"/>
        <w:spacing w:after="0"/>
        <w:jc w:val="both"/>
        <w:rPr>
          <w:rFonts w:cs="Arial"/>
        </w:rPr>
      </w:pPr>
      <w:r w:rsidRPr="001E14CE">
        <w:rPr>
          <w:rFonts w:cs="Arial"/>
          <w:u w:val="single"/>
        </w:rPr>
        <w:t>Accessible and affordable leisure opportunities through pricing structures at appropriate and inclusive levels</w:t>
      </w:r>
      <w:r w:rsidRPr="00C61325">
        <w:rPr>
          <w:rFonts w:cs="Arial"/>
        </w:rPr>
        <w:t>.</w:t>
      </w:r>
    </w:p>
    <w:p w:rsidR="004E7BE4" w:rsidRPr="00C61325" w:rsidRDefault="004E7BE4" w:rsidP="007B5E0A">
      <w:pPr>
        <w:pStyle w:val="ListParagraph"/>
        <w:numPr>
          <w:ilvl w:val="0"/>
          <w:numId w:val="0"/>
        </w:numPr>
        <w:tabs>
          <w:tab w:val="clear" w:pos="426"/>
          <w:tab w:val="left" w:pos="0"/>
        </w:tabs>
        <w:autoSpaceDE w:val="0"/>
        <w:autoSpaceDN w:val="0"/>
        <w:adjustRightInd w:val="0"/>
        <w:spacing w:after="0"/>
        <w:ind w:left="426"/>
        <w:jc w:val="both"/>
        <w:rPr>
          <w:rFonts w:cs="Arial"/>
        </w:rPr>
      </w:pPr>
    </w:p>
    <w:p w:rsidR="00C30148" w:rsidRDefault="00C30148" w:rsidP="007B5E0A">
      <w:pPr>
        <w:pStyle w:val="ListParagraph"/>
        <w:numPr>
          <w:ilvl w:val="0"/>
          <w:numId w:val="37"/>
        </w:numPr>
        <w:tabs>
          <w:tab w:val="clear" w:pos="426"/>
          <w:tab w:val="left" w:pos="1134"/>
        </w:tabs>
        <w:spacing w:after="0"/>
        <w:ind w:left="1134" w:hanging="425"/>
        <w:jc w:val="both"/>
      </w:pPr>
      <w:r>
        <w:t>Fees and charges are</w:t>
      </w:r>
      <w:r w:rsidRPr="00415330">
        <w:t xml:space="preserve"> based on charging a market rate for those who can afford it, whilst offering concessions to those on</w:t>
      </w:r>
      <w:r>
        <w:t xml:space="preserve"> low incomes</w:t>
      </w:r>
      <w:r w:rsidRPr="00415330">
        <w:t>.</w:t>
      </w:r>
    </w:p>
    <w:p w:rsidR="00C30148" w:rsidRPr="00DD0CE9" w:rsidRDefault="00DD0CE9" w:rsidP="007B5E0A">
      <w:pPr>
        <w:pStyle w:val="ListParagraph"/>
        <w:numPr>
          <w:ilvl w:val="0"/>
          <w:numId w:val="37"/>
        </w:numPr>
        <w:tabs>
          <w:tab w:val="clear" w:pos="426"/>
          <w:tab w:val="left" w:pos="1134"/>
        </w:tabs>
        <w:spacing w:after="0"/>
        <w:ind w:left="1134" w:hanging="425"/>
        <w:jc w:val="both"/>
      </w:pPr>
      <w:r>
        <w:rPr>
          <w:rFonts w:cs="Arial"/>
        </w:rPr>
        <w:t>The</w:t>
      </w:r>
      <w:r w:rsidR="00C30148" w:rsidRPr="00C30148">
        <w:rPr>
          <w:rFonts w:cs="Arial"/>
        </w:rPr>
        <w:t xml:space="preserve"> Bonus concessionary membership scheme for those in receipt of one of 15 eligible benefits, and their dependents, </w:t>
      </w:r>
      <w:r w:rsidR="00C30148">
        <w:rPr>
          <w:rFonts w:cs="Arial"/>
        </w:rPr>
        <w:t xml:space="preserve">continues to </w:t>
      </w:r>
      <w:r w:rsidR="00C30148" w:rsidRPr="00C30148">
        <w:rPr>
          <w:rFonts w:cs="Arial"/>
        </w:rPr>
        <w:t>give reduced rates on activities at all our leisure facilities and continues to offer affordable access to Oxford facilities.</w:t>
      </w:r>
    </w:p>
    <w:p w:rsidR="00DD0CE9" w:rsidRPr="00DD0CE9" w:rsidRDefault="00DD0CE9" w:rsidP="007B5E0A">
      <w:pPr>
        <w:pStyle w:val="ListParagraph"/>
        <w:numPr>
          <w:ilvl w:val="0"/>
          <w:numId w:val="37"/>
        </w:numPr>
        <w:tabs>
          <w:tab w:val="clear" w:pos="426"/>
          <w:tab w:val="left" w:pos="1134"/>
        </w:tabs>
        <w:spacing w:after="0"/>
        <w:ind w:left="1134" w:hanging="425"/>
        <w:jc w:val="both"/>
      </w:pPr>
      <w:r>
        <w:rPr>
          <w:rFonts w:cs="Arial"/>
        </w:rPr>
        <w:t xml:space="preserve">The Bonus </w:t>
      </w:r>
      <w:r w:rsidR="001742DD">
        <w:rPr>
          <w:rFonts w:cs="Arial"/>
        </w:rPr>
        <w:t>concessionary</w:t>
      </w:r>
      <w:r>
        <w:rPr>
          <w:rFonts w:cs="Arial"/>
        </w:rPr>
        <w:t xml:space="preserve"> monthly</w:t>
      </w:r>
      <w:r w:rsidR="001742DD">
        <w:rPr>
          <w:rFonts w:cs="Arial"/>
        </w:rPr>
        <w:t xml:space="preserve"> membership has been discounted from £25 per month to £19.</w:t>
      </w:r>
    </w:p>
    <w:p w:rsidR="00DD0CE9" w:rsidRPr="00DD0CE9" w:rsidRDefault="00DD0CE9" w:rsidP="007B5E0A">
      <w:pPr>
        <w:pStyle w:val="ListParagraph"/>
        <w:numPr>
          <w:ilvl w:val="0"/>
          <w:numId w:val="37"/>
        </w:numPr>
        <w:tabs>
          <w:tab w:val="clear" w:pos="426"/>
          <w:tab w:val="left" w:pos="1134"/>
        </w:tabs>
        <w:spacing w:after="0"/>
        <w:ind w:left="1134" w:hanging="425"/>
        <w:jc w:val="both"/>
      </w:pPr>
      <w:r>
        <w:rPr>
          <w:rFonts w:cs="Arial"/>
        </w:rPr>
        <w:t>A facility only membership is being piloted at Leys Pools and Leisure Centre.</w:t>
      </w:r>
    </w:p>
    <w:p w:rsidR="004E7BE4" w:rsidRPr="007662D9" w:rsidRDefault="004E7BE4" w:rsidP="004E7BE4">
      <w:pPr>
        <w:autoSpaceDE w:val="0"/>
        <w:autoSpaceDN w:val="0"/>
        <w:adjustRightInd w:val="0"/>
        <w:spacing w:after="0"/>
        <w:ind w:left="1080"/>
        <w:jc w:val="both"/>
        <w:rPr>
          <w:rFonts w:cs="Arial"/>
        </w:rPr>
      </w:pPr>
    </w:p>
    <w:p w:rsidR="004E7BE4" w:rsidRPr="00470D25" w:rsidRDefault="004E7BE4" w:rsidP="007B5E0A">
      <w:pPr>
        <w:pStyle w:val="ListParagraph"/>
        <w:jc w:val="both"/>
      </w:pPr>
      <w:r w:rsidRPr="001E14CE">
        <w:rPr>
          <w:u w:val="single"/>
        </w:rPr>
        <w:t>Improving health and well-being by positively promoting and delivering the benefits of healthy living and active lifestyles</w:t>
      </w:r>
      <w:r w:rsidRPr="00470D25">
        <w:t>.</w:t>
      </w:r>
    </w:p>
    <w:p w:rsidR="004E7BE4" w:rsidRPr="00883DEB" w:rsidRDefault="004E7BE4" w:rsidP="007B5E0A">
      <w:pPr>
        <w:pStyle w:val="ListParagraph"/>
        <w:numPr>
          <w:ilvl w:val="0"/>
          <w:numId w:val="41"/>
        </w:numPr>
        <w:jc w:val="both"/>
      </w:pPr>
      <w:r w:rsidRPr="00883DEB">
        <w:t xml:space="preserve">Pilot </w:t>
      </w:r>
      <w:r w:rsidR="009E796D">
        <w:t xml:space="preserve">of </w:t>
      </w:r>
      <w:r w:rsidRPr="00883DEB">
        <w:t xml:space="preserve">healthier </w:t>
      </w:r>
      <w:r w:rsidR="00390243" w:rsidRPr="00883DEB">
        <w:t>choices</w:t>
      </w:r>
      <w:r w:rsidRPr="00883DEB">
        <w:t xml:space="preserve"> </w:t>
      </w:r>
      <w:r w:rsidR="00250124">
        <w:t xml:space="preserve">vending </w:t>
      </w:r>
      <w:r w:rsidRPr="00883DEB">
        <w:t>scheme</w:t>
      </w:r>
      <w:r w:rsidR="00390243" w:rsidRPr="00883DEB">
        <w:t>s</w:t>
      </w:r>
      <w:r w:rsidRPr="00883DEB">
        <w:t xml:space="preserve"> at Leys Pools &amp; Leisure Centre.</w:t>
      </w:r>
    </w:p>
    <w:p w:rsidR="004E7BE4" w:rsidRPr="00883DEB" w:rsidRDefault="004E7BE4" w:rsidP="007B5E0A">
      <w:pPr>
        <w:pStyle w:val="ListParagraph"/>
        <w:numPr>
          <w:ilvl w:val="0"/>
          <w:numId w:val="41"/>
        </w:numPr>
        <w:jc w:val="both"/>
      </w:pPr>
      <w:r w:rsidRPr="00883DEB">
        <w:t xml:space="preserve">In partnership with Oxfordshire Sport and Physical Activity </w:t>
      </w:r>
      <w:r w:rsidR="00250124">
        <w:t>(</w:t>
      </w:r>
      <w:r w:rsidRPr="00883DEB">
        <w:t>OxSPA</w:t>
      </w:r>
      <w:r w:rsidR="00250124">
        <w:t xml:space="preserve">) </w:t>
      </w:r>
      <w:r w:rsidRPr="00883DEB">
        <w:t xml:space="preserve">Active Women programmes </w:t>
      </w:r>
      <w:r w:rsidR="009E796D">
        <w:t xml:space="preserve">were </w:t>
      </w:r>
      <w:r w:rsidRPr="00883DEB">
        <w:t>designed to overcome barriers that prevent women being active.</w:t>
      </w:r>
    </w:p>
    <w:p w:rsidR="004E7BE4" w:rsidRPr="00883DEB" w:rsidRDefault="004E7BE4" w:rsidP="007B5E0A">
      <w:pPr>
        <w:pStyle w:val="ListParagraph"/>
        <w:numPr>
          <w:ilvl w:val="0"/>
          <w:numId w:val="41"/>
        </w:numPr>
        <w:jc w:val="both"/>
      </w:pPr>
      <w:r w:rsidRPr="00883DEB">
        <w:t>Provision of reduced cost facilities to local groups such as Oxford Swans disability swimming group.</w:t>
      </w:r>
    </w:p>
    <w:p w:rsidR="004E7BE4" w:rsidRDefault="009E796D" w:rsidP="007B5E0A">
      <w:pPr>
        <w:pStyle w:val="ListParagraph"/>
        <w:numPr>
          <w:ilvl w:val="0"/>
          <w:numId w:val="41"/>
        </w:numPr>
        <w:jc w:val="both"/>
      </w:pPr>
      <w:r>
        <w:t xml:space="preserve">Delivery of an </w:t>
      </w:r>
      <w:r w:rsidR="004E7BE4" w:rsidRPr="00883DEB">
        <w:t>Exercise on referral scheme in partnership with local Health Practitioners and OxSPA.</w:t>
      </w:r>
    </w:p>
    <w:p w:rsidR="001742DD" w:rsidRPr="007B5E0A" w:rsidRDefault="001742DD" w:rsidP="007B5E0A">
      <w:pPr>
        <w:numPr>
          <w:ilvl w:val="0"/>
          <w:numId w:val="41"/>
        </w:numPr>
        <w:jc w:val="both"/>
      </w:pPr>
      <w:r w:rsidRPr="007B5E0A">
        <w:t xml:space="preserve">For a second year Leys Pools and Leisure Centre hosted the Oxfordshire College Games. The tournament was primarily about engaging students in the further education sector who have stopped participating in sport. </w:t>
      </w:r>
    </w:p>
    <w:p w:rsidR="00390243" w:rsidRPr="00883DEB" w:rsidRDefault="00390243" w:rsidP="007B5E0A">
      <w:pPr>
        <w:pStyle w:val="ListParagraph"/>
        <w:numPr>
          <w:ilvl w:val="0"/>
          <w:numId w:val="41"/>
        </w:numPr>
        <w:jc w:val="both"/>
      </w:pPr>
      <w:r w:rsidRPr="00883DEB">
        <w:lastRenderedPageBreak/>
        <w:t xml:space="preserve">Evaluation through Social Return on Investment (SROI) methodology, February 2016 found that Fusion generated </w:t>
      </w:r>
      <w:r w:rsidRPr="00883DEB">
        <w:rPr>
          <w:i/>
          <w:u w:val="single"/>
        </w:rPr>
        <w:t>£18,286,935 of gain</w:t>
      </w:r>
      <w:r w:rsidRPr="00883DEB">
        <w:t xml:space="preserve"> from its work in Oxford during 2014.</w:t>
      </w:r>
      <w:r w:rsidRPr="00883DEB">
        <w:rPr>
          <w:rStyle w:val="FootnoteReference"/>
        </w:rPr>
        <w:footnoteReference w:id="1"/>
      </w:r>
    </w:p>
    <w:p w:rsidR="004E7BE4" w:rsidRPr="001E14CE" w:rsidRDefault="004E7BE4" w:rsidP="007B5E0A">
      <w:pPr>
        <w:pStyle w:val="ListParagraph"/>
        <w:jc w:val="both"/>
        <w:rPr>
          <w:rFonts w:cs="Arial"/>
        </w:rPr>
      </w:pPr>
      <w:r w:rsidRPr="001E14CE">
        <w:rPr>
          <w:rFonts w:cs="Arial"/>
          <w:u w:val="single"/>
        </w:rPr>
        <w:t xml:space="preserve">Supporting the </w:t>
      </w:r>
      <w:r w:rsidR="00250124">
        <w:rPr>
          <w:rFonts w:cs="Arial"/>
          <w:u w:val="single"/>
        </w:rPr>
        <w:t>C</w:t>
      </w:r>
      <w:r w:rsidRPr="001E14CE">
        <w:rPr>
          <w:rFonts w:cs="Arial"/>
          <w:u w:val="single"/>
        </w:rPr>
        <w:t>ouncil’s Youth Ambition Programme</w:t>
      </w:r>
      <w:r>
        <w:rPr>
          <w:rFonts w:cs="Arial"/>
          <w:u w:val="single"/>
        </w:rPr>
        <w:t>.</w:t>
      </w:r>
      <w:r w:rsidRPr="001E14CE">
        <w:rPr>
          <w:rFonts w:cs="Arial"/>
        </w:rPr>
        <w:t xml:space="preserve"> </w:t>
      </w:r>
    </w:p>
    <w:p w:rsidR="004E7BE4" w:rsidRPr="00883DEB" w:rsidRDefault="009E796D" w:rsidP="007B5E0A">
      <w:pPr>
        <w:pStyle w:val="ListParagraph"/>
        <w:numPr>
          <w:ilvl w:val="0"/>
          <w:numId w:val="40"/>
        </w:numPr>
        <w:jc w:val="both"/>
        <w:rPr>
          <w:rFonts w:cs="Arial"/>
        </w:rPr>
      </w:pPr>
      <w:r w:rsidRPr="00883DEB">
        <w:rPr>
          <w:rFonts w:cs="Arial"/>
        </w:rPr>
        <w:t>C</w:t>
      </w:r>
      <w:r>
        <w:rPr>
          <w:rFonts w:cs="Arial"/>
        </w:rPr>
        <w:t xml:space="preserve">ontinued to deliver </w:t>
      </w:r>
      <w:r w:rsidR="00250124">
        <w:rPr>
          <w:rFonts w:cs="Arial"/>
        </w:rPr>
        <w:t>C</w:t>
      </w:r>
      <w:r w:rsidR="004E7BE4" w:rsidRPr="00883DEB">
        <w:rPr>
          <w:rFonts w:cs="Arial"/>
        </w:rPr>
        <w:t>ouncil funded free swimming sessions and lessons for those under 17 years of age and living in the city.</w:t>
      </w:r>
    </w:p>
    <w:p w:rsidR="004E7BE4" w:rsidRPr="00883DEB" w:rsidRDefault="004E7BE4" w:rsidP="007B5E0A">
      <w:pPr>
        <w:pStyle w:val="ListParagraph"/>
        <w:numPr>
          <w:ilvl w:val="0"/>
          <w:numId w:val="40"/>
        </w:numPr>
        <w:jc w:val="both"/>
        <w:rPr>
          <w:rFonts w:cs="Arial"/>
        </w:rPr>
      </w:pPr>
      <w:r w:rsidRPr="00883DEB">
        <w:rPr>
          <w:rFonts w:cs="Arial"/>
        </w:rPr>
        <w:t>Junior Gym sessions in city leisure facilities.</w:t>
      </w:r>
    </w:p>
    <w:p w:rsidR="004E7BE4" w:rsidRPr="00883DEB" w:rsidRDefault="004E7BE4" w:rsidP="007B5E0A">
      <w:pPr>
        <w:pStyle w:val="ListParagraph"/>
        <w:numPr>
          <w:ilvl w:val="0"/>
          <w:numId w:val="40"/>
        </w:numPr>
        <w:jc w:val="both"/>
        <w:rPr>
          <w:rFonts w:cs="Arial"/>
        </w:rPr>
      </w:pPr>
      <w:r w:rsidRPr="00883DEB">
        <w:rPr>
          <w:rFonts w:cs="Arial"/>
        </w:rPr>
        <w:t>Affordable leisure memberships offer for those less able to afford to participate.</w:t>
      </w:r>
    </w:p>
    <w:p w:rsidR="004E7BE4" w:rsidRPr="00883DEB" w:rsidRDefault="004E7BE4" w:rsidP="007B5E0A">
      <w:pPr>
        <w:pStyle w:val="ListParagraph"/>
        <w:numPr>
          <w:ilvl w:val="0"/>
          <w:numId w:val="40"/>
        </w:numPr>
        <w:jc w:val="both"/>
        <w:rPr>
          <w:rFonts w:cs="Arial"/>
        </w:rPr>
      </w:pPr>
      <w:r w:rsidRPr="00883DEB">
        <w:rPr>
          <w:rFonts w:cs="Arial"/>
        </w:rPr>
        <w:t>Venue provision for Youth Ambition projects.</w:t>
      </w:r>
    </w:p>
    <w:p w:rsidR="004E7BE4" w:rsidRPr="00883DEB" w:rsidRDefault="004E7BE4" w:rsidP="007B5E0A">
      <w:pPr>
        <w:pStyle w:val="ListParagraph"/>
        <w:jc w:val="both"/>
        <w:rPr>
          <w:rFonts w:cs="Arial"/>
        </w:rPr>
      </w:pPr>
      <w:r w:rsidRPr="00883DEB">
        <w:rPr>
          <w:rFonts w:cs="Arial"/>
          <w:u w:val="single"/>
        </w:rPr>
        <w:t>Tackling climate change and promote sustainable environmental resource management providing quality through continuous improvement</w:t>
      </w:r>
      <w:r w:rsidRPr="00883DEB">
        <w:rPr>
          <w:rFonts w:cs="Arial"/>
        </w:rPr>
        <w:t>.</w:t>
      </w:r>
    </w:p>
    <w:p w:rsidR="004E7BE4" w:rsidRPr="00883DEB" w:rsidRDefault="004E7BE4" w:rsidP="007B5E0A">
      <w:pPr>
        <w:pStyle w:val="ListParagraph"/>
        <w:numPr>
          <w:ilvl w:val="0"/>
          <w:numId w:val="42"/>
        </w:numPr>
        <w:jc w:val="both"/>
        <w:rPr>
          <w:rFonts w:cs="Arial"/>
        </w:rPr>
      </w:pPr>
      <w:r w:rsidRPr="00883DEB">
        <w:rPr>
          <w:rFonts w:cs="Arial"/>
        </w:rPr>
        <w:t>OCC has been working in collaboration with Fusion on a range of Carbon reduction projects, such as:</w:t>
      </w:r>
    </w:p>
    <w:p w:rsidR="004E7BE4" w:rsidRPr="00883DEB" w:rsidRDefault="004E7BE4" w:rsidP="007B5E0A">
      <w:pPr>
        <w:pStyle w:val="ListParagraph"/>
        <w:numPr>
          <w:ilvl w:val="0"/>
          <w:numId w:val="43"/>
        </w:numPr>
        <w:jc w:val="both"/>
        <w:rPr>
          <w:rFonts w:cs="Arial"/>
        </w:rPr>
      </w:pPr>
      <w:r w:rsidRPr="00883DEB">
        <w:rPr>
          <w:rFonts w:cs="Arial"/>
        </w:rPr>
        <w:t>Solar Photovoltaics</w:t>
      </w:r>
    </w:p>
    <w:p w:rsidR="004E7BE4" w:rsidRPr="00883DEB" w:rsidRDefault="004E7BE4" w:rsidP="007B5E0A">
      <w:pPr>
        <w:pStyle w:val="ListParagraph"/>
        <w:numPr>
          <w:ilvl w:val="0"/>
          <w:numId w:val="43"/>
        </w:numPr>
        <w:jc w:val="both"/>
        <w:rPr>
          <w:rFonts w:cs="Arial"/>
        </w:rPr>
      </w:pPr>
      <w:r w:rsidRPr="00883DEB">
        <w:rPr>
          <w:rFonts w:cs="Arial"/>
        </w:rPr>
        <w:t>Biomass wood chip boiler</w:t>
      </w:r>
    </w:p>
    <w:p w:rsidR="004E7BE4" w:rsidRPr="00883DEB" w:rsidRDefault="004E7BE4" w:rsidP="007B5E0A">
      <w:pPr>
        <w:pStyle w:val="ListParagraph"/>
        <w:numPr>
          <w:ilvl w:val="0"/>
          <w:numId w:val="43"/>
        </w:numPr>
        <w:jc w:val="both"/>
        <w:rPr>
          <w:rFonts w:cs="Arial"/>
        </w:rPr>
      </w:pPr>
      <w:r w:rsidRPr="00883DEB">
        <w:rPr>
          <w:rFonts w:cs="Arial"/>
        </w:rPr>
        <w:t>Voltage Optimisers</w:t>
      </w:r>
    </w:p>
    <w:p w:rsidR="004E7BE4" w:rsidRPr="00883DEB" w:rsidRDefault="004E7BE4" w:rsidP="007B5E0A">
      <w:pPr>
        <w:pStyle w:val="ListParagraph"/>
        <w:numPr>
          <w:ilvl w:val="0"/>
          <w:numId w:val="43"/>
        </w:numPr>
        <w:jc w:val="both"/>
        <w:rPr>
          <w:rFonts w:cs="Arial"/>
        </w:rPr>
      </w:pPr>
      <w:r w:rsidRPr="00883DEB">
        <w:rPr>
          <w:rFonts w:cs="Arial"/>
        </w:rPr>
        <w:t xml:space="preserve">Waste Heat Recovery </w:t>
      </w:r>
    </w:p>
    <w:p w:rsidR="004E7BE4" w:rsidRPr="00883DEB" w:rsidRDefault="004E7BE4" w:rsidP="007B5E0A">
      <w:pPr>
        <w:pStyle w:val="ListParagraph"/>
        <w:numPr>
          <w:ilvl w:val="0"/>
          <w:numId w:val="43"/>
        </w:numPr>
        <w:jc w:val="both"/>
        <w:rPr>
          <w:rFonts w:cs="Arial"/>
        </w:rPr>
      </w:pPr>
      <w:r w:rsidRPr="00883DEB">
        <w:rPr>
          <w:rFonts w:cs="Arial"/>
        </w:rPr>
        <w:t>LED Lighting</w:t>
      </w:r>
    </w:p>
    <w:p w:rsidR="004E7BE4" w:rsidRPr="00883DEB" w:rsidRDefault="004E7BE4" w:rsidP="007B5E0A">
      <w:pPr>
        <w:pStyle w:val="ListParagraph"/>
        <w:numPr>
          <w:ilvl w:val="0"/>
          <w:numId w:val="43"/>
        </w:numPr>
        <w:jc w:val="both"/>
        <w:rPr>
          <w:rFonts w:cs="Arial"/>
        </w:rPr>
      </w:pPr>
      <w:r w:rsidRPr="00883DEB">
        <w:rPr>
          <w:rFonts w:cs="Arial"/>
        </w:rPr>
        <w:t>Pool covers</w:t>
      </w:r>
    </w:p>
    <w:p w:rsidR="004E7BE4" w:rsidRPr="00883DEB" w:rsidRDefault="004E7BE4" w:rsidP="007B5E0A">
      <w:pPr>
        <w:pStyle w:val="ListParagraph"/>
        <w:numPr>
          <w:ilvl w:val="0"/>
          <w:numId w:val="43"/>
        </w:numPr>
        <w:jc w:val="both"/>
        <w:rPr>
          <w:rFonts w:cs="Arial"/>
        </w:rPr>
      </w:pPr>
      <w:r w:rsidRPr="00883DEB">
        <w:rPr>
          <w:rFonts w:cs="Arial"/>
        </w:rPr>
        <w:t>Boiler optimisation and upgrades</w:t>
      </w:r>
      <w:r w:rsidR="00C64FC7">
        <w:rPr>
          <w:rFonts w:cs="Arial"/>
        </w:rPr>
        <w:t>.</w:t>
      </w:r>
    </w:p>
    <w:p w:rsidR="004E7BE4" w:rsidRPr="00883DEB" w:rsidRDefault="004E7BE4" w:rsidP="007B5E0A">
      <w:pPr>
        <w:pStyle w:val="ListParagraph"/>
        <w:numPr>
          <w:ilvl w:val="0"/>
          <w:numId w:val="42"/>
        </w:numPr>
        <w:jc w:val="both"/>
        <w:rPr>
          <w:rFonts w:cs="Arial"/>
        </w:rPr>
      </w:pPr>
      <w:r w:rsidRPr="00883DEB">
        <w:rPr>
          <w:rFonts w:cs="Arial"/>
        </w:rPr>
        <w:t>Since 2011 an estimated 212</w:t>
      </w:r>
      <w:r w:rsidR="00355353">
        <w:rPr>
          <w:rFonts w:cs="Arial"/>
        </w:rPr>
        <w:t xml:space="preserve"> </w:t>
      </w:r>
      <w:r w:rsidRPr="00883DEB">
        <w:rPr>
          <w:rFonts w:cs="Arial"/>
        </w:rPr>
        <w:t>tonnes of carbon dioxide</w:t>
      </w:r>
      <w:r w:rsidR="00B77D29">
        <w:rPr>
          <w:rFonts w:cs="Arial"/>
        </w:rPr>
        <w:t xml:space="preserve"> (amount of </w:t>
      </w:r>
      <w:r w:rsidR="00B77D29">
        <w:t>greenhouse gas</w:t>
      </w:r>
      <w:r w:rsidR="00B77D29">
        <w:rPr>
          <w:rStyle w:val="FootnoteReference"/>
        </w:rPr>
        <w:footnoteReference w:id="2"/>
      </w:r>
      <w:r w:rsidR="00B77D29">
        <w:t>),</w:t>
      </w:r>
      <w:r w:rsidRPr="00883DEB">
        <w:rPr>
          <w:rFonts w:cs="Arial"/>
        </w:rPr>
        <w:t xml:space="preserve"> per year has been avoided</w:t>
      </w:r>
      <w:r w:rsidR="00B77D29">
        <w:rPr>
          <w:rFonts w:cs="Arial"/>
        </w:rPr>
        <w:t xml:space="preserve"> </w:t>
      </w:r>
      <w:r w:rsidRPr="00883DEB">
        <w:rPr>
          <w:rFonts w:cs="Arial"/>
        </w:rPr>
        <w:t>and estimated £41,000 per year saving in energy spends</w:t>
      </w:r>
      <w:r w:rsidR="00B77D29">
        <w:rPr>
          <w:rFonts w:cs="Arial"/>
        </w:rPr>
        <w:t xml:space="preserve">. </w:t>
      </w:r>
      <w:r w:rsidRPr="00883DEB">
        <w:rPr>
          <w:rFonts w:cs="Arial"/>
        </w:rPr>
        <w:t>This has been achieved against a backdrop of a large increase in participation and indicates good progress and commitment with the Council</w:t>
      </w:r>
      <w:r w:rsidR="00250124">
        <w:rPr>
          <w:rFonts w:cs="Arial"/>
        </w:rPr>
        <w:t>’</w:t>
      </w:r>
      <w:r w:rsidRPr="00883DEB">
        <w:rPr>
          <w:rFonts w:cs="Arial"/>
        </w:rPr>
        <w:t>s priority to reduce carbon emissions.</w:t>
      </w:r>
    </w:p>
    <w:p w:rsidR="004E7BE4" w:rsidRDefault="004E7BE4" w:rsidP="007B5E0A">
      <w:pPr>
        <w:pStyle w:val="ListParagraph"/>
        <w:jc w:val="both"/>
      </w:pPr>
      <w:r w:rsidRPr="001E14CE">
        <w:rPr>
          <w:u w:val="single"/>
        </w:rPr>
        <w:t>Driving value for money by ensuring that the leisure offering is of a high standard and innovative</w:t>
      </w:r>
      <w:r w:rsidRPr="007662D9">
        <w:t>.</w:t>
      </w:r>
    </w:p>
    <w:p w:rsidR="004E7BE4" w:rsidRPr="00C05C8D" w:rsidRDefault="004E7BE4" w:rsidP="007B5E0A">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rsidRPr="00C05C8D">
        <w:rPr>
          <w:rFonts w:cs="Arial"/>
        </w:rPr>
        <w:t>Additional increases in the Oxford Living Wage and energy costs have been absorbed.</w:t>
      </w:r>
    </w:p>
    <w:p w:rsidR="00C30148" w:rsidRDefault="004E7BE4" w:rsidP="007B5E0A">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rsidRPr="00C05C8D">
        <w:rPr>
          <w:rFonts w:cs="Arial"/>
        </w:rPr>
        <w:t xml:space="preserve">Quest (the sport and leisure industry quality and customer assurance scheme) has been achieved and maintained at all the centres, with Ferry Leisure Centre </w:t>
      </w:r>
      <w:r w:rsidRPr="00C05C8D">
        <w:rPr>
          <w:szCs w:val="22"/>
        </w:rPr>
        <w:t>achieving “Quest excellent.”</w:t>
      </w:r>
    </w:p>
    <w:p w:rsidR="00C30148" w:rsidRPr="00C30148" w:rsidRDefault="00C30148" w:rsidP="007B5E0A">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t>Fusion continues to maintain International Standards 14001, 14002 and 9001</w:t>
      </w:r>
      <w:r w:rsidR="00CC36F5">
        <w:t xml:space="preserve"> </w:t>
      </w:r>
      <w:r>
        <w:t>following external assessments.</w:t>
      </w:r>
    </w:p>
    <w:p w:rsidR="00364E51" w:rsidRPr="007B5E0A" w:rsidRDefault="00C05C8D" w:rsidP="004E7BE4">
      <w:pPr>
        <w:pStyle w:val="ListParagraph"/>
        <w:numPr>
          <w:ilvl w:val="0"/>
          <w:numId w:val="38"/>
        </w:numPr>
        <w:tabs>
          <w:tab w:val="clear" w:pos="426"/>
          <w:tab w:val="left" w:pos="1134"/>
        </w:tabs>
        <w:autoSpaceDE w:val="0"/>
        <w:autoSpaceDN w:val="0"/>
        <w:adjustRightInd w:val="0"/>
        <w:spacing w:after="0"/>
        <w:ind w:left="1134" w:hanging="425"/>
        <w:jc w:val="both"/>
        <w:rPr>
          <w:rFonts w:cs="Arial"/>
        </w:rPr>
      </w:pPr>
      <w:r w:rsidRPr="00C05C8D">
        <w:lastRenderedPageBreak/>
        <w:t>Development on time and within budget of the</w:t>
      </w:r>
      <w:r w:rsidR="00364E51" w:rsidRPr="00C05C8D">
        <w:t xml:space="preserve"> new </w:t>
      </w:r>
      <w:r w:rsidRPr="00C05C8D">
        <w:t xml:space="preserve">3G </w:t>
      </w:r>
      <w:r w:rsidR="00364E51" w:rsidRPr="00C05C8D">
        <w:t xml:space="preserve">multi-use games area and new parking bays at </w:t>
      </w:r>
      <w:r w:rsidRPr="00C05C8D">
        <w:t>t</w:t>
      </w:r>
      <w:r w:rsidR="00364E51" w:rsidRPr="00C05C8D">
        <w:t>he Leys Pools and Leisure centre.</w:t>
      </w:r>
    </w:p>
    <w:p w:rsidR="007B5E0A" w:rsidRPr="00C05C8D" w:rsidRDefault="007B5E0A" w:rsidP="007B5E0A">
      <w:pPr>
        <w:pStyle w:val="ListParagraph"/>
        <w:numPr>
          <w:ilvl w:val="0"/>
          <w:numId w:val="0"/>
        </w:numPr>
        <w:tabs>
          <w:tab w:val="clear" w:pos="426"/>
          <w:tab w:val="left" w:pos="1134"/>
        </w:tabs>
        <w:autoSpaceDE w:val="0"/>
        <w:autoSpaceDN w:val="0"/>
        <w:adjustRightInd w:val="0"/>
        <w:spacing w:after="0"/>
        <w:ind w:left="1134"/>
        <w:jc w:val="both"/>
        <w:rPr>
          <w:rFonts w:cs="Arial"/>
        </w:rPr>
      </w:pPr>
    </w:p>
    <w:p w:rsidR="004E7BE4" w:rsidRDefault="004E7BE4" w:rsidP="007B5E0A">
      <w:pPr>
        <w:pStyle w:val="ListParagraph"/>
        <w:jc w:val="both"/>
      </w:pPr>
      <w:r w:rsidRPr="001E14CE">
        <w:rPr>
          <w:rFonts w:cs="Arial"/>
          <w:u w:val="single"/>
        </w:rPr>
        <w:t>Delivering Service Excellence by striving to</w:t>
      </w:r>
      <w:r w:rsidRPr="001E14CE">
        <w:rPr>
          <w:u w:val="single"/>
        </w:rPr>
        <w:t xml:space="preserve"> achieve an excellent customer satisfaction rating</w:t>
      </w:r>
      <w:r>
        <w:t>.</w:t>
      </w:r>
    </w:p>
    <w:p w:rsidR="004E7BE4" w:rsidRPr="00883DEB" w:rsidRDefault="004E7BE4" w:rsidP="007B5E0A">
      <w:pPr>
        <w:pStyle w:val="ListParagraph"/>
        <w:numPr>
          <w:ilvl w:val="0"/>
          <w:numId w:val="39"/>
        </w:numPr>
        <w:jc w:val="both"/>
      </w:pPr>
      <w:r w:rsidRPr="00883DEB">
        <w:t>Currently very high c</w:t>
      </w:r>
      <w:r w:rsidR="00C05C8D" w:rsidRPr="00883DEB">
        <w:t>ustomer satisfaction levels - 92</w:t>
      </w:r>
      <w:r w:rsidRPr="00883DEB">
        <w:t xml:space="preserve"> per cent</w:t>
      </w:r>
      <w:r w:rsidR="00CC36F5">
        <w:t xml:space="preserve"> </w:t>
      </w:r>
      <w:r w:rsidR="00C05C8D" w:rsidRPr="00883DEB">
        <w:t>satisfied and 75</w:t>
      </w:r>
      <w:r w:rsidRPr="00883DEB">
        <w:t xml:space="preserve"> per cent</w:t>
      </w:r>
      <w:r w:rsidR="00CC36F5">
        <w:t xml:space="preserve"> </w:t>
      </w:r>
      <w:r w:rsidRPr="00883DEB">
        <w:t xml:space="preserve">of customers rate the centres as </w:t>
      </w:r>
      <w:r w:rsidR="00C05C8D" w:rsidRPr="00883DEB">
        <w:t xml:space="preserve">good or </w:t>
      </w:r>
      <w:r w:rsidRPr="00883DEB">
        <w:t>excellent.</w:t>
      </w:r>
    </w:p>
    <w:p w:rsidR="00390243" w:rsidRPr="00883DEB" w:rsidRDefault="00390243" w:rsidP="007B5E0A">
      <w:pPr>
        <w:pStyle w:val="ListParagraph"/>
        <w:numPr>
          <w:ilvl w:val="0"/>
          <w:numId w:val="39"/>
        </w:numPr>
        <w:spacing w:after="0"/>
        <w:jc w:val="both"/>
        <w:rPr>
          <w:b/>
          <w:color w:val="auto"/>
        </w:rPr>
      </w:pPr>
      <w:r w:rsidRPr="00883DEB">
        <w:rPr>
          <w:color w:val="auto"/>
        </w:rPr>
        <w:t>Fusion also uses Net Promoter Score</w:t>
      </w:r>
      <w:r w:rsidRPr="00883DEB">
        <w:rPr>
          <w:rStyle w:val="FootnoteReference"/>
          <w:color w:val="auto"/>
        </w:rPr>
        <w:footnoteReference w:id="3"/>
      </w:r>
      <w:r w:rsidRPr="00883DEB">
        <w:rPr>
          <w:color w:val="auto"/>
        </w:rPr>
        <w:t xml:space="preserve"> </w:t>
      </w:r>
      <w:r w:rsidR="00250124">
        <w:rPr>
          <w:color w:val="auto"/>
        </w:rPr>
        <w:t xml:space="preserve">which is a </w:t>
      </w:r>
      <w:r w:rsidRPr="00883DEB">
        <w:rPr>
          <w:color w:val="auto"/>
        </w:rPr>
        <w:t>methodology to measure the willingness of customers to recommend leisure services to others. In 2015/16 Oxford leisure services averaged 21 per cent, which is the second highest rating in the Fusion business. To further context this Virgin Active’s average score in 2015 was 17 per cent across their 105 clubs.</w:t>
      </w:r>
    </w:p>
    <w:p w:rsidR="00C05C8D" w:rsidRPr="00C05C8D" w:rsidRDefault="00C05C8D" w:rsidP="007B5E0A">
      <w:pPr>
        <w:pStyle w:val="ListParagraph"/>
        <w:numPr>
          <w:ilvl w:val="0"/>
          <w:numId w:val="0"/>
        </w:numPr>
        <w:ind w:left="1146"/>
        <w:jc w:val="both"/>
        <w:rPr>
          <w:highlight w:val="yellow"/>
        </w:rPr>
      </w:pPr>
    </w:p>
    <w:p w:rsidR="004E7BE4" w:rsidRPr="00883DEB" w:rsidRDefault="00C05C8D" w:rsidP="007B5E0A">
      <w:pPr>
        <w:pStyle w:val="bParagraphtext"/>
        <w:numPr>
          <w:ilvl w:val="0"/>
          <w:numId w:val="0"/>
        </w:numPr>
        <w:jc w:val="both"/>
        <w:rPr>
          <w:b/>
        </w:rPr>
      </w:pPr>
      <w:r w:rsidRPr="00883DEB">
        <w:rPr>
          <w:b/>
        </w:rPr>
        <w:t>Development of the 2017</w:t>
      </w:r>
      <w:r w:rsidR="004E7BE4" w:rsidRPr="00883DEB">
        <w:rPr>
          <w:b/>
        </w:rPr>
        <w:t>/1</w:t>
      </w:r>
      <w:r w:rsidRPr="00883DEB">
        <w:rPr>
          <w:b/>
        </w:rPr>
        <w:t>8</w:t>
      </w:r>
      <w:r w:rsidR="004E7BE4" w:rsidRPr="00883DEB">
        <w:rPr>
          <w:b/>
        </w:rPr>
        <w:t xml:space="preserve"> Plan</w:t>
      </w:r>
    </w:p>
    <w:p w:rsidR="004E7BE4" w:rsidRPr="00883DEB" w:rsidRDefault="00390243" w:rsidP="007B5E0A">
      <w:pPr>
        <w:pStyle w:val="ListParagraph"/>
        <w:jc w:val="both"/>
      </w:pPr>
      <w:r w:rsidRPr="00883DEB">
        <w:t>The 2017/18</w:t>
      </w:r>
      <w:r w:rsidR="004E7BE4" w:rsidRPr="00883DEB">
        <w:t xml:space="preserve"> Plan was developed and agreed by the Leisure Partnership Board. The Board consists of representatives from the following groups: </w:t>
      </w:r>
    </w:p>
    <w:p w:rsidR="004E7BE4" w:rsidRPr="00883DEB" w:rsidRDefault="004E7BE4" w:rsidP="007B5E0A">
      <w:pPr>
        <w:pStyle w:val="Default"/>
        <w:numPr>
          <w:ilvl w:val="0"/>
          <w:numId w:val="34"/>
        </w:numPr>
        <w:tabs>
          <w:tab w:val="clear" w:pos="720"/>
        </w:tabs>
        <w:ind w:left="1440" w:hanging="720"/>
        <w:jc w:val="both"/>
      </w:pPr>
      <w:r w:rsidRPr="00883DEB">
        <w:t xml:space="preserve">Leisure centre customers  </w:t>
      </w:r>
    </w:p>
    <w:p w:rsidR="004E7BE4" w:rsidRPr="00883DEB" w:rsidRDefault="004E7BE4" w:rsidP="007B5E0A">
      <w:pPr>
        <w:pStyle w:val="Default"/>
        <w:numPr>
          <w:ilvl w:val="0"/>
          <w:numId w:val="34"/>
        </w:numPr>
        <w:tabs>
          <w:tab w:val="clear" w:pos="720"/>
        </w:tabs>
        <w:ind w:left="1440" w:hanging="720"/>
        <w:jc w:val="both"/>
      </w:pPr>
      <w:r w:rsidRPr="00883DEB">
        <w:t xml:space="preserve">Older people </w:t>
      </w:r>
    </w:p>
    <w:p w:rsidR="004E7BE4" w:rsidRPr="00883DEB" w:rsidRDefault="004E7BE4" w:rsidP="007B5E0A">
      <w:pPr>
        <w:pStyle w:val="Default"/>
        <w:numPr>
          <w:ilvl w:val="0"/>
          <w:numId w:val="34"/>
        </w:numPr>
        <w:tabs>
          <w:tab w:val="clear" w:pos="720"/>
        </w:tabs>
        <w:ind w:left="1440" w:hanging="720"/>
        <w:jc w:val="both"/>
      </w:pPr>
      <w:r w:rsidRPr="00883DEB">
        <w:t xml:space="preserve">Young people </w:t>
      </w:r>
    </w:p>
    <w:p w:rsidR="004E7BE4" w:rsidRPr="00883DEB" w:rsidRDefault="004E7BE4" w:rsidP="007B5E0A">
      <w:pPr>
        <w:pStyle w:val="Default"/>
        <w:numPr>
          <w:ilvl w:val="0"/>
          <w:numId w:val="34"/>
        </w:numPr>
        <w:tabs>
          <w:tab w:val="clear" w:pos="720"/>
        </w:tabs>
        <w:ind w:left="1440" w:hanging="720"/>
        <w:jc w:val="both"/>
      </w:pPr>
      <w:r w:rsidRPr="00883DEB">
        <w:t xml:space="preserve">Executive member (labour) with the responsibility for leisure </w:t>
      </w:r>
    </w:p>
    <w:p w:rsidR="004E7BE4" w:rsidRPr="00883DEB" w:rsidRDefault="004E7BE4" w:rsidP="007B5E0A">
      <w:pPr>
        <w:pStyle w:val="Default"/>
        <w:numPr>
          <w:ilvl w:val="0"/>
          <w:numId w:val="34"/>
        </w:numPr>
        <w:tabs>
          <w:tab w:val="clear" w:pos="720"/>
        </w:tabs>
        <w:ind w:left="1440" w:hanging="720"/>
        <w:jc w:val="both"/>
      </w:pPr>
      <w:r w:rsidRPr="00883DEB">
        <w:t xml:space="preserve">Liberal democrat with the responsibility for leisure </w:t>
      </w:r>
    </w:p>
    <w:p w:rsidR="004E7BE4" w:rsidRPr="00883DEB" w:rsidRDefault="004E7BE4" w:rsidP="007B5E0A">
      <w:pPr>
        <w:pStyle w:val="Default"/>
        <w:numPr>
          <w:ilvl w:val="0"/>
          <w:numId w:val="34"/>
        </w:numPr>
        <w:tabs>
          <w:tab w:val="clear" w:pos="720"/>
        </w:tabs>
        <w:ind w:left="1440" w:hanging="720"/>
        <w:jc w:val="both"/>
      </w:pPr>
      <w:r w:rsidRPr="00883DEB">
        <w:t>Senior Council and Fusion Officers</w:t>
      </w:r>
    </w:p>
    <w:p w:rsidR="004E7BE4" w:rsidRPr="00883DEB" w:rsidRDefault="004E7BE4" w:rsidP="007B5E0A">
      <w:pPr>
        <w:pStyle w:val="Default"/>
        <w:numPr>
          <w:ilvl w:val="0"/>
          <w:numId w:val="34"/>
        </w:numPr>
        <w:tabs>
          <w:tab w:val="clear" w:pos="720"/>
        </w:tabs>
        <w:ind w:left="1440" w:hanging="720"/>
        <w:jc w:val="both"/>
      </w:pPr>
      <w:r w:rsidRPr="00883DEB">
        <w:t xml:space="preserve">Public Health </w:t>
      </w:r>
    </w:p>
    <w:p w:rsidR="004E7BE4" w:rsidRPr="00883DEB" w:rsidRDefault="004E7BE4" w:rsidP="007B5E0A">
      <w:pPr>
        <w:pStyle w:val="Default"/>
        <w:numPr>
          <w:ilvl w:val="0"/>
          <w:numId w:val="34"/>
        </w:numPr>
        <w:tabs>
          <w:tab w:val="clear" w:pos="720"/>
        </w:tabs>
        <w:ind w:left="1440" w:hanging="720"/>
        <w:jc w:val="both"/>
      </w:pPr>
      <w:r w:rsidRPr="00883DEB">
        <w:t>Oxfordshire County Council - Early Intervention</w:t>
      </w:r>
    </w:p>
    <w:p w:rsidR="004E7BE4" w:rsidRPr="007662D9" w:rsidRDefault="004E7BE4" w:rsidP="007B5E0A">
      <w:pPr>
        <w:pStyle w:val="Default"/>
        <w:jc w:val="both"/>
      </w:pPr>
    </w:p>
    <w:p w:rsidR="004E7BE4" w:rsidRDefault="004E7BE4" w:rsidP="007B5E0A">
      <w:pPr>
        <w:pStyle w:val="Default"/>
        <w:tabs>
          <w:tab w:val="num" w:pos="426"/>
        </w:tabs>
        <w:ind w:left="426"/>
        <w:jc w:val="both"/>
        <w:rPr>
          <w:rFonts w:eastAsia="Symbol"/>
        </w:rPr>
      </w:pPr>
      <w:r w:rsidRPr="007662D9">
        <w:t>The function of the Board is to oversee the delivery of the city’s corporate objective</w:t>
      </w:r>
      <w:r>
        <w:t xml:space="preserve">s through the leisure contract. </w:t>
      </w:r>
      <w:r>
        <w:rPr>
          <w:rFonts w:eastAsia="Symbol"/>
        </w:rPr>
        <w:t>An effort has been made to broaden input into the Board and over</w:t>
      </w:r>
      <w:r w:rsidR="00CC36F5">
        <w:rPr>
          <w:rFonts w:eastAsia="Symbol"/>
        </w:rPr>
        <w:t xml:space="preserve"> </w:t>
      </w:r>
      <w:r>
        <w:rPr>
          <w:rFonts w:eastAsia="Symbol"/>
        </w:rPr>
        <w:t>the last year there has been more attendance and contribution from Young People</w:t>
      </w:r>
      <w:r w:rsidR="00390243">
        <w:rPr>
          <w:rFonts w:eastAsia="Symbol"/>
        </w:rPr>
        <w:t xml:space="preserve"> and Users</w:t>
      </w:r>
      <w:r>
        <w:rPr>
          <w:rFonts w:eastAsia="Symbol"/>
        </w:rPr>
        <w:t>.</w:t>
      </w:r>
    </w:p>
    <w:p w:rsidR="004E7BE4" w:rsidRPr="007662D9" w:rsidRDefault="004E7BE4" w:rsidP="007B5E0A">
      <w:pPr>
        <w:pStyle w:val="Default"/>
        <w:tabs>
          <w:tab w:val="num" w:pos="709"/>
        </w:tabs>
        <w:ind w:left="709"/>
        <w:jc w:val="both"/>
      </w:pPr>
    </w:p>
    <w:p w:rsidR="004E7BE4" w:rsidRPr="007662D9" w:rsidRDefault="004E7BE4" w:rsidP="007B5E0A">
      <w:pPr>
        <w:pStyle w:val="ListParagraph"/>
        <w:jc w:val="both"/>
      </w:pPr>
      <w:r>
        <w:t>Preparation of the 201</w:t>
      </w:r>
      <w:r w:rsidR="00390243">
        <w:t>7</w:t>
      </w:r>
      <w:r w:rsidRPr="007662D9">
        <w:t>/1</w:t>
      </w:r>
      <w:r w:rsidR="00390243">
        <w:t>8</w:t>
      </w:r>
      <w:r w:rsidRPr="007662D9">
        <w:t xml:space="preserve"> Plan has incorporated: </w:t>
      </w:r>
    </w:p>
    <w:p w:rsidR="004E7BE4" w:rsidRPr="00390243" w:rsidRDefault="004E7BE4" w:rsidP="007B5E0A">
      <w:pPr>
        <w:pStyle w:val="Default"/>
        <w:numPr>
          <w:ilvl w:val="0"/>
          <w:numId w:val="35"/>
        </w:numPr>
        <w:tabs>
          <w:tab w:val="clear" w:pos="720"/>
        </w:tabs>
        <w:ind w:left="1440" w:hanging="720"/>
        <w:jc w:val="both"/>
      </w:pPr>
      <w:r w:rsidRPr="00390243">
        <w:t>Review of performance from contract commencement</w:t>
      </w:r>
    </w:p>
    <w:p w:rsidR="004E7BE4" w:rsidRPr="00390243" w:rsidRDefault="004E7BE4" w:rsidP="007B5E0A">
      <w:pPr>
        <w:pStyle w:val="Default"/>
        <w:numPr>
          <w:ilvl w:val="0"/>
          <w:numId w:val="35"/>
        </w:numPr>
        <w:tabs>
          <w:tab w:val="clear" w:pos="720"/>
        </w:tabs>
        <w:ind w:left="1440" w:hanging="720"/>
        <w:jc w:val="both"/>
      </w:pPr>
      <w:r w:rsidRPr="00390243">
        <w:t>Review of achievements in respect of national and industry relevant benchmarks</w:t>
      </w:r>
    </w:p>
    <w:p w:rsidR="004E7BE4" w:rsidRPr="00390243" w:rsidRDefault="004E7BE4" w:rsidP="007B5E0A">
      <w:pPr>
        <w:pStyle w:val="Default"/>
        <w:numPr>
          <w:ilvl w:val="0"/>
          <w:numId w:val="35"/>
        </w:numPr>
        <w:tabs>
          <w:tab w:val="clear" w:pos="720"/>
        </w:tabs>
        <w:ind w:left="1440" w:hanging="720"/>
        <w:jc w:val="both"/>
      </w:pPr>
      <w:r w:rsidRPr="00390243">
        <w:t>Commitments and intentions set out in Fusion Lifestyles tender submission</w:t>
      </w:r>
    </w:p>
    <w:p w:rsidR="004E7BE4" w:rsidRPr="00390243" w:rsidRDefault="004E7BE4" w:rsidP="007B5E0A">
      <w:pPr>
        <w:pStyle w:val="Default"/>
        <w:numPr>
          <w:ilvl w:val="0"/>
          <w:numId w:val="35"/>
        </w:numPr>
        <w:tabs>
          <w:tab w:val="clear" w:pos="720"/>
        </w:tabs>
        <w:ind w:left="1440" w:hanging="720"/>
        <w:jc w:val="both"/>
      </w:pPr>
      <w:r w:rsidRPr="00390243">
        <w:t>Liaison with stakeholders</w:t>
      </w:r>
    </w:p>
    <w:p w:rsidR="004E7BE4" w:rsidRPr="00390243" w:rsidRDefault="004E7BE4" w:rsidP="007B5E0A">
      <w:pPr>
        <w:pStyle w:val="Default"/>
        <w:numPr>
          <w:ilvl w:val="0"/>
          <w:numId w:val="35"/>
        </w:numPr>
        <w:tabs>
          <w:tab w:val="clear" w:pos="720"/>
        </w:tabs>
        <w:ind w:left="1440" w:hanging="720"/>
        <w:jc w:val="both"/>
      </w:pPr>
      <w:r w:rsidRPr="00390243">
        <w:t>Linkage to the Council</w:t>
      </w:r>
      <w:r w:rsidR="00CC36F5">
        <w:t>’s corporate plan.</w:t>
      </w:r>
    </w:p>
    <w:p w:rsidR="004E7BE4" w:rsidRDefault="004E7BE4" w:rsidP="007B5E0A">
      <w:pPr>
        <w:pStyle w:val="Default"/>
        <w:jc w:val="both"/>
      </w:pPr>
    </w:p>
    <w:p w:rsidR="007B5E0A" w:rsidRDefault="004E7BE4" w:rsidP="00C64FC7">
      <w:pPr>
        <w:pStyle w:val="ListParagraph"/>
      </w:pPr>
      <w:r w:rsidRPr="007662D9">
        <w:t xml:space="preserve">A summary document </w:t>
      </w:r>
      <w:r>
        <w:t xml:space="preserve">will </w:t>
      </w:r>
      <w:r w:rsidRPr="007662D9">
        <w:t>clearly set out the</w:t>
      </w:r>
      <w:r>
        <w:t xml:space="preserve"> Plan </w:t>
      </w:r>
      <w:r w:rsidRPr="007662D9">
        <w:t xml:space="preserve">headlines </w:t>
      </w:r>
      <w:r>
        <w:t xml:space="preserve">and </w:t>
      </w:r>
      <w:r w:rsidRPr="007662D9">
        <w:t>be available to customers, staff and other key stakeholders</w:t>
      </w:r>
      <w:r>
        <w:t>. The document will be printed in a format consistent to previous contract years.</w:t>
      </w:r>
    </w:p>
    <w:p w:rsidR="004E7BE4" w:rsidRDefault="004E7BE4" w:rsidP="007B5E0A">
      <w:pPr>
        <w:spacing w:after="0"/>
        <w:jc w:val="both"/>
        <w:rPr>
          <w:b/>
        </w:rPr>
      </w:pPr>
      <w:r>
        <w:rPr>
          <w:b/>
        </w:rPr>
        <w:lastRenderedPageBreak/>
        <w:t>201</w:t>
      </w:r>
      <w:r w:rsidR="00390243">
        <w:rPr>
          <w:b/>
        </w:rPr>
        <w:t>7</w:t>
      </w:r>
      <w:r>
        <w:rPr>
          <w:b/>
        </w:rPr>
        <w:t>/</w:t>
      </w:r>
      <w:r w:rsidRPr="00963251">
        <w:rPr>
          <w:b/>
        </w:rPr>
        <w:t>1</w:t>
      </w:r>
      <w:r w:rsidR="00390243">
        <w:rPr>
          <w:b/>
        </w:rPr>
        <w:t>8</w:t>
      </w:r>
      <w:r w:rsidRPr="00963251">
        <w:rPr>
          <w:b/>
        </w:rPr>
        <w:t xml:space="preserve"> Performance Targets </w:t>
      </w:r>
      <w:r w:rsidRPr="00963251">
        <w:rPr>
          <w:rStyle w:val="FootnoteReference"/>
          <w:b/>
        </w:rPr>
        <w:footnoteReference w:id="4"/>
      </w:r>
    </w:p>
    <w:p w:rsidR="004E7BE4" w:rsidRPr="00963251" w:rsidRDefault="004E7BE4" w:rsidP="007B5E0A">
      <w:pPr>
        <w:spacing w:after="0"/>
        <w:jc w:val="both"/>
        <w:rPr>
          <w:b/>
        </w:rPr>
      </w:pPr>
    </w:p>
    <w:p w:rsidR="004E7BE4" w:rsidRDefault="004E7BE4" w:rsidP="007B5E0A">
      <w:pPr>
        <w:pStyle w:val="ListParagraph"/>
        <w:jc w:val="both"/>
      </w:pPr>
      <w:r w:rsidRPr="007662D9">
        <w:t xml:space="preserve">Key </w:t>
      </w:r>
      <w:r>
        <w:t>targets committed to in the 201</w:t>
      </w:r>
      <w:r w:rsidR="00390243">
        <w:t>7</w:t>
      </w:r>
      <w:r>
        <w:t>/</w:t>
      </w:r>
      <w:r w:rsidRPr="007662D9">
        <w:t>1</w:t>
      </w:r>
      <w:r w:rsidR="00390243">
        <w:t>8</w:t>
      </w:r>
      <w:r>
        <w:t xml:space="preserve"> Plan include:</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2363"/>
        <w:gridCol w:w="2218"/>
      </w:tblGrid>
      <w:tr w:rsidR="004E7BE4" w:rsidRPr="003648A1" w:rsidTr="004B48AF">
        <w:tc>
          <w:tcPr>
            <w:tcW w:w="4784" w:type="dxa"/>
            <w:shd w:val="clear" w:color="auto" w:fill="auto"/>
          </w:tcPr>
          <w:p w:rsidR="004E7BE4" w:rsidRPr="004B48AF" w:rsidRDefault="004E7BE4" w:rsidP="004B48AF">
            <w:pPr>
              <w:pStyle w:val="Default"/>
              <w:jc w:val="both"/>
              <w:rPr>
                <w:b/>
                <w:bCs/>
              </w:rPr>
            </w:pPr>
          </w:p>
        </w:tc>
        <w:tc>
          <w:tcPr>
            <w:tcW w:w="2363" w:type="dxa"/>
            <w:shd w:val="clear" w:color="auto" w:fill="auto"/>
          </w:tcPr>
          <w:p w:rsidR="004E7BE4" w:rsidRPr="004B48AF" w:rsidRDefault="004E7BE4" w:rsidP="004B48AF">
            <w:pPr>
              <w:pStyle w:val="Default"/>
              <w:jc w:val="center"/>
              <w:rPr>
                <w:b/>
                <w:bCs/>
              </w:rPr>
            </w:pPr>
            <w:r w:rsidRPr="004B48AF">
              <w:rPr>
                <w:b/>
                <w:bCs/>
              </w:rPr>
              <w:t>201</w:t>
            </w:r>
            <w:r w:rsidR="00B45EBF" w:rsidRPr="004B48AF">
              <w:rPr>
                <w:b/>
                <w:bCs/>
              </w:rPr>
              <w:t>6</w:t>
            </w:r>
            <w:r w:rsidRPr="004B48AF">
              <w:rPr>
                <w:b/>
                <w:bCs/>
              </w:rPr>
              <w:t>/1</w:t>
            </w:r>
            <w:r w:rsidR="00B45EBF" w:rsidRPr="004B48AF">
              <w:rPr>
                <w:b/>
                <w:bCs/>
              </w:rPr>
              <w:t>7</w:t>
            </w:r>
            <w:r w:rsidRPr="004B48AF">
              <w:rPr>
                <w:b/>
                <w:bCs/>
              </w:rPr>
              <w:t xml:space="preserve"> estimated outcome </w:t>
            </w:r>
          </w:p>
        </w:tc>
        <w:tc>
          <w:tcPr>
            <w:tcW w:w="2218" w:type="dxa"/>
            <w:shd w:val="clear" w:color="auto" w:fill="auto"/>
          </w:tcPr>
          <w:p w:rsidR="004E7BE4" w:rsidRPr="004B48AF" w:rsidRDefault="004E7BE4" w:rsidP="004B48AF">
            <w:pPr>
              <w:pStyle w:val="Default"/>
              <w:jc w:val="center"/>
              <w:rPr>
                <w:b/>
                <w:bCs/>
              </w:rPr>
            </w:pPr>
            <w:r w:rsidRPr="004B48AF">
              <w:rPr>
                <w:b/>
                <w:bCs/>
              </w:rPr>
              <w:t>201</w:t>
            </w:r>
            <w:r w:rsidR="00B45EBF" w:rsidRPr="004B48AF">
              <w:rPr>
                <w:b/>
                <w:bCs/>
              </w:rPr>
              <w:t>7</w:t>
            </w:r>
            <w:r w:rsidRPr="004B48AF">
              <w:rPr>
                <w:b/>
                <w:bCs/>
              </w:rPr>
              <w:t>/1</w:t>
            </w:r>
            <w:r w:rsidR="00B45EBF" w:rsidRPr="004B48AF">
              <w:rPr>
                <w:b/>
                <w:bCs/>
              </w:rPr>
              <w:t>8</w:t>
            </w:r>
            <w:r w:rsidRPr="004B48AF">
              <w:rPr>
                <w:b/>
                <w:bCs/>
              </w:rPr>
              <w:t xml:space="preserve"> </w:t>
            </w:r>
          </w:p>
          <w:p w:rsidR="004E7BE4" w:rsidRPr="004B48AF" w:rsidRDefault="004E7BE4" w:rsidP="004B48AF">
            <w:pPr>
              <w:pStyle w:val="Default"/>
              <w:jc w:val="center"/>
              <w:rPr>
                <w:b/>
                <w:bCs/>
              </w:rPr>
            </w:pPr>
            <w:r w:rsidRPr="004B48AF">
              <w:rPr>
                <w:b/>
                <w:bCs/>
              </w:rPr>
              <w:t>target</w:t>
            </w:r>
          </w:p>
        </w:tc>
      </w:tr>
      <w:tr w:rsidR="004E7BE4" w:rsidRPr="003648A1" w:rsidTr="004B48AF">
        <w:trPr>
          <w:trHeight w:val="693"/>
        </w:trPr>
        <w:tc>
          <w:tcPr>
            <w:tcW w:w="4784" w:type="dxa"/>
            <w:shd w:val="clear" w:color="auto" w:fill="auto"/>
          </w:tcPr>
          <w:p w:rsidR="004E7BE4" w:rsidRPr="007662D9" w:rsidRDefault="004E7BE4" w:rsidP="004B48AF">
            <w:pPr>
              <w:pStyle w:val="Default"/>
              <w:jc w:val="both"/>
            </w:pPr>
            <w:r>
              <w:t>Y</w:t>
            </w:r>
            <w:r w:rsidRPr="007662D9">
              <w:t>ear-on-year increase in participation by resident</w:t>
            </w:r>
            <w:r w:rsidR="00250124">
              <w:t>s</w:t>
            </w:r>
            <w:r w:rsidRPr="007662D9">
              <w:t xml:space="preserve"> in the most deprived wards in the city</w:t>
            </w:r>
          </w:p>
        </w:tc>
        <w:tc>
          <w:tcPr>
            <w:tcW w:w="2363" w:type="dxa"/>
            <w:shd w:val="clear" w:color="auto" w:fill="auto"/>
          </w:tcPr>
          <w:p w:rsidR="00390243" w:rsidRDefault="00390243" w:rsidP="004B48AF">
            <w:pPr>
              <w:pStyle w:val="Default"/>
              <w:jc w:val="center"/>
            </w:pPr>
            <w:r>
              <w:t>90,000</w:t>
            </w:r>
          </w:p>
          <w:p w:rsidR="004E7BE4" w:rsidRPr="007662D9" w:rsidRDefault="004E7BE4" w:rsidP="004B48AF">
            <w:pPr>
              <w:pStyle w:val="Default"/>
              <w:jc w:val="center"/>
            </w:pPr>
            <w:r w:rsidRPr="007662D9">
              <w:t>visits</w:t>
            </w:r>
          </w:p>
        </w:tc>
        <w:tc>
          <w:tcPr>
            <w:tcW w:w="2218" w:type="dxa"/>
            <w:shd w:val="clear" w:color="auto" w:fill="auto"/>
          </w:tcPr>
          <w:p w:rsidR="00CC36F5" w:rsidRDefault="000F0813" w:rsidP="004B48AF">
            <w:pPr>
              <w:pStyle w:val="Default"/>
              <w:jc w:val="center"/>
            </w:pPr>
            <w:r>
              <w:t>94,500</w:t>
            </w:r>
          </w:p>
          <w:p w:rsidR="004E7BE4" w:rsidRPr="007662D9" w:rsidRDefault="00CC36F5" w:rsidP="004B48AF">
            <w:pPr>
              <w:pStyle w:val="Default"/>
              <w:jc w:val="center"/>
            </w:pPr>
            <w:r>
              <w:t>v</w:t>
            </w:r>
            <w:r w:rsidR="004E7BE4" w:rsidRPr="007662D9">
              <w:t>isits</w:t>
            </w:r>
          </w:p>
        </w:tc>
      </w:tr>
      <w:tr w:rsidR="004E7BE4" w:rsidRPr="003648A1" w:rsidTr="004B48AF">
        <w:tc>
          <w:tcPr>
            <w:tcW w:w="4784" w:type="dxa"/>
            <w:shd w:val="clear" w:color="auto" w:fill="auto"/>
          </w:tcPr>
          <w:p w:rsidR="004E7BE4" w:rsidRPr="007662D9" w:rsidRDefault="004E7BE4" w:rsidP="004B48AF">
            <w:pPr>
              <w:pStyle w:val="Default"/>
              <w:jc w:val="both"/>
            </w:pPr>
            <w:r>
              <w:t>Y</w:t>
            </w:r>
            <w:r w:rsidRPr="007662D9">
              <w:t xml:space="preserve">ear-on-year increase in participation by </w:t>
            </w:r>
            <w:r>
              <w:t xml:space="preserve">people </w:t>
            </w:r>
            <w:r w:rsidRPr="007662D9">
              <w:t>over 50 years of age</w:t>
            </w:r>
          </w:p>
        </w:tc>
        <w:tc>
          <w:tcPr>
            <w:tcW w:w="2363" w:type="dxa"/>
            <w:shd w:val="clear" w:color="auto" w:fill="auto"/>
          </w:tcPr>
          <w:p w:rsidR="00390243" w:rsidRDefault="00390243" w:rsidP="004B48AF">
            <w:pPr>
              <w:pStyle w:val="Default"/>
              <w:jc w:val="center"/>
            </w:pPr>
            <w:r>
              <w:t>116,000</w:t>
            </w:r>
          </w:p>
          <w:p w:rsidR="004E7BE4" w:rsidRPr="007662D9" w:rsidRDefault="00250124" w:rsidP="004B48AF">
            <w:pPr>
              <w:pStyle w:val="Default"/>
              <w:jc w:val="center"/>
            </w:pPr>
            <w:r>
              <w:t>v</w:t>
            </w:r>
            <w:r w:rsidR="004E7BE4" w:rsidRPr="007662D9">
              <w:t>isits</w:t>
            </w:r>
          </w:p>
        </w:tc>
        <w:tc>
          <w:tcPr>
            <w:tcW w:w="2218" w:type="dxa"/>
            <w:shd w:val="clear" w:color="auto" w:fill="auto"/>
          </w:tcPr>
          <w:p w:rsidR="000F0813" w:rsidRDefault="000F0813" w:rsidP="004B48AF">
            <w:pPr>
              <w:pStyle w:val="Default"/>
              <w:jc w:val="center"/>
            </w:pPr>
            <w:r>
              <w:t>133,400</w:t>
            </w:r>
          </w:p>
          <w:p w:rsidR="004E7BE4" w:rsidRPr="007662D9" w:rsidRDefault="004E7BE4" w:rsidP="004B48AF">
            <w:pPr>
              <w:pStyle w:val="Default"/>
              <w:jc w:val="center"/>
            </w:pPr>
            <w:r>
              <w:t>visits</w:t>
            </w:r>
          </w:p>
        </w:tc>
      </w:tr>
      <w:tr w:rsidR="004E7BE4" w:rsidRPr="003648A1" w:rsidTr="004B48AF">
        <w:tc>
          <w:tcPr>
            <w:tcW w:w="4784" w:type="dxa"/>
            <w:shd w:val="clear" w:color="auto" w:fill="auto"/>
          </w:tcPr>
          <w:p w:rsidR="004E7BE4" w:rsidRPr="007662D9" w:rsidRDefault="004E7BE4" w:rsidP="00250124">
            <w:pPr>
              <w:pStyle w:val="Default"/>
              <w:jc w:val="both"/>
            </w:pPr>
            <w:r>
              <w:t>Y</w:t>
            </w:r>
            <w:r w:rsidRPr="007662D9">
              <w:t xml:space="preserve">ear-on-year increase in participation by </w:t>
            </w:r>
            <w:r>
              <w:t>w</w:t>
            </w:r>
            <w:r w:rsidRPr="007662D9">
              <w:t>omen and girls</w:t>
            </w:r>
          </w:p>
        </w:tc>
        <w:tc>
          <w:tcPr>
            <w:tcW w:w="2363" w:type="dxa"/>
            <w:shd w:val="clear" w:color="auto" w:fill="auto"/>
          </w:tcPr>
          <w:p w:rsidR="00390243" w:rsidRDefault="000B1444" w:rsidP="004B48AF">
            <w:pPr>
              <w:pStyle w:val="Default"/>
              <w:jc w:val="center"/>
            </w:pPr>
            <w:r>
              <w:t>421,000</w:t>
            </w:r>
          </w:p>
          <w:p w:rsidR="004E7BE4" w:rsidRPr="007662D9" w:rsidRDefault="000B1444" w:rsidP="004B48AF">
            <w:pPr>
              <w:pStyle w:val="Default"/>
              <w:jc w:val="center"/>
            </w:pPr>
            <w:r>
              <w:t>v</w:t>
            </w:r>
            <w:r w:rsidR="004E7BE4" w:rsidRPr="007662D9">
              <w:t>isits</w:t>
            </w:r>
          </w:p>
        </w:tc>
        <w:tc>
          <w:tcPr>
            <w:tcW w:w="2218" w:type="dxa"/>
            <w:shd w:val="clear" w:color="auto" w:fill="auto"/>
          </w:tcPr>
          <w:p w:rsidR="000F0813" w:rsidRDefault="006815D1" w:rsidP="004B48AF">
            <w:pPr>
              <w:pStyle w:val="Default"/>
              <w:jc w:val="center"/>
            </w:pPr>
            <w:r>
              <w:t>442,000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7662D9" w:rsidRDefault="004E7BE4" w:rsidP="00250124">
            <w:pPr>
              <w:pStyle w:val="Default"/>
              <w:jc w:val="both"/>
            </w:pPr>
            <w:r>
              <w:t>Y</w:t>
            </w:r>
            <w:r w:rsidRPr="007662D9">
              <w:t>ear-on-year increase in part</w:t>
            </w:r>
            <w:r>
              <w:t>icipation by people aged under 17</w:t>
            </w:r>
            <w:r w:rsidRPr="007662D9">
              <w:t xml:space="preserve"> years</w:t>
            </w:r>
          </w:p>
        </w:tc>
        <w:tc>
          <w:tcPr>
            <w:tcW w:w="2363" w:type="dxa"/>
            <w:shd w:val="clear" w:color="auto" w:fill="auto"/>
          </w:tcPr>
          <w:p w:rsidR="000B1444" w:rsidRDefault="000B1444" w:rsidP="004B48AF">
            <w:pPr>
              <w:pStyle w:val="Default"/>
              <w:jc w:val="center"/>
            </w:pPr>
            <w:r>
              <w:t>189,000</w:t>
            </w:r>
          </w:p>
          <w:p w:rsidR="004E7BE4" w:rsidRPr="007662D9" w:rsidRDefault="000B1444" w:rsidP="004B48AF">
            <w:pPr>
              <w:pStyle w:val="Default"/>
              <w:jc w:val="center"/>
            </w:pPr>
            <w:r>
              <w:t>v</w:t>
            </w:r>
            <w:r w:rsidR="004E7BE4" w:rsidRPr="007662D9">
              <w:t>isits</w:t>
            </w:r>
          </w:p>
        </w:tc>
        <w:tc>
          <w:tcPr>
            <w:tcW w:w="2218" w:type="dxa"/>
            <w:shd w:val="clear" w:color="auto" w:fill="auto"/>
          </w:tcPr>
          <w:p w:rsidR="006815D1" w:rsidRDefault="006815D1" w:rsidP="004B48AF">
            <w:pPr>
              <w:pStyle w:val="Default"/>
              <w:jc w:val="center"/>
            </w:pPr>
            <w:r>
              <w:t>198,500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7662D9" w:rsidRDefault="004E7BE4" w:rsidP="004B48AF">
            <w:pPr>
              <w:pStyle w:val="Default"/>
              <w:jc w:val="both"/>
            </w:pPr>
            <w:r>
              <w:t>Y</w:t>
            </w:r>
            <w:r w:rsidRPr="007662D9">
              <w:t xml:space="preserve">ear-on-year increase in participation by Black, </w:t>
            </w:r>
            <w:r>
              <w:t xml:space="preserve">Asian and </w:t>
            </w:r>
            <w:r w:rsidRPr="007662D9">
              <w:t xml:space="preserve">Minority </w:t>
            </w:r>
            <w:r>
              <w:t>E</w:t>
            </w:r>
            <w:r w:rsidRPr="007662D9">
              <w:t>thnic</w:t>
            </w:r>
            <w:r>
              <w:t xml:space="preserve"> people </w:t>
            </w:r>
          </w:p>
        </w:tc>
        <w:tc>
          <w:tcPr>
            <w:tcW w:w="2363" w:type="dxa"/>
            <w:shd w:val="clear" w:color="auto" w:fill="auto"/>
          </w:tcPr>
          <w:p w:rsidR="000B1444" w:rsidRDefault="000B1444" w:rsidP="004B48AF">
            <w:pPr>
              <w:pStyle w:val="Default"/>
              <w:jc w:val="center"/>
            </w:pPr>
            <w:r>
              <w:t>78,800</w:t>
            </w:r>
          </w:p>
          <w:p w:rsidR="004E7BE4" w:rsidRPr="007662D9" w:rsidRDefault="000B1444" w:rsidP="004B48AF">
            <w:pPr>
              <w:pStyle w:val="Default"/>
              <w:jc w:val="center"/>
            </w:pPr>
            <w:r>
              <w:t>v</w:t>
            </w:r>
            <w:r w:rsidR="004E7BE4" w:rsidRPr="007662D9">
              <w:t>isits</w:t>
            </w:r>
          </w:p>
        </w:tc>
        <w:tc>
          <w:tcPr>
            <w:tcW w:w="2218" w:type="dxa"/>
            <w:shd w:val="clear" w:color="auto" w:fill="auto"/>
          </w:tcPr>
          <w:p w:rsidR="006815D1" w:rsidRDefault="006815D1" w:rsidP="004B48AF">
            <w:pPr>
              <w:pStyle w:val="Default"/>
              <w:jc w:val="center"/>
            </w:pPr>
            <w:r>
              <w:t>90,800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7662D9" w:rsidRDefault="004E7BE4" w:rsidP="00250124">
            <w:pPr>
              <w:pStyle w:val="Default"/>
              <w:jc w:val="both"/>
            </w:pPr>
            <w:r>
              <w:t>Y</w:t>
            </w:r>
            <w:r w:rsidRPr="007662D9">
              <w:t>ear-on-year increase in participation by</w:t>
            </w:r>
            <w:r>
              <w:t xml:space="preserve"> people with a </w:t>
            </w:r>
            <w:r w:rsidRPr="007662D9">
              <w:t>disab</w:t>
            </w:r>
            <w:r>
              <w:t>ility</w:t>
            </w:r>
          </w:p>
        </w:tc>
        <w:tc>
          <w:tcPr>
            <w:tcW w:w="2363" w:type="dxa"/>
            <w:shd w:val="clear" w:color="auto" w:fill="auto"/>
          </w:tcPr>
          <w:p w:rsidR="000B1444" w:rsidRDefault="000B1444" w:rsidP="004B48AF">
            <w:pPr>
              <w:pStyle w:val="Default"/>
              <w:jc w:val="center"/>
            </w:pPr>
            <w:r>
              <w:t>16,800</w:t>
            </w:r>
          </w:p>
          <w:p w:rsidR="004E7BE4" w:rsidRPr="007662D9" w:rsidRDefault="000B1444" w:rsidP="004B48AF">
            <w:pPr>
              <w:pStyle w:val="Default"/>
              <w:jc w:val="center"/>
            </w:pPr>
            <w:r>
              <w:t>v</w:t>
            </w:r>
            <w:r w:rsidR="004E7BE4" w:rsidRPr="007662D9">
              <w:t>isits</w:t>
            </w:r>
          </w:p>
        </w:tc>
        <w:tc>
          <w:tcPr>
            <w:tcW w:w="2218" w:type="dxa"/>
            <w:shd w:val="clear" w:color="auto" w:fill="auto"/>
          </w:tcPr>
          <w:p w:rsidR="006815D1" w:rsidRDefault="006815D1" w:rsidP="004B48AF">
            <w:pPr>
              <w:pStyle w:val="Default"/>
              <w:jc w:val="center"/>
            </w:pPr>
            <w:r>
              <w:t>19,300</w:t>
            </w:r>
          </w:p>
          <w:p w:rsidR="004E7BE4" w:rsidRPr="007662D9" w:rsidRDefault="004E7BE4" w:rsidP="004B48AF">
            <w:pPr>
              <w:pStyle w:val="Default"/>
              <w:jc w:val="center"/>
            </w:pPr>
            <w:r w:rsidRPr="007662D9">
              <w:t>visits</w:t>
            </w:r>
          </w:p>
        </w:tc>
      </w:tr>
      <w:tr w:rsidR="004E7BE4" w:rsidRPr="003648A1" w:rsidTr="004B48AF">
        <w:tc>
          <w:tcPr>
            <w:tcW w:w="4784" w:type="dxa"/>
            <w:shd w:val="clear" w:color="auto" w:fill="auto"/>
          </w:tcPr>
          <w:p w:rsidR="004E7BE4" w:rsidRPr="004B48AF" w:rsidRDefault="004E7BE4" w:rsidP="00250124">
            <w:pPr>
              <w:jc w:val="both"/>
              <w:rPr>
                <w:rFonts w:cs="Arial"/>
                <w:bCs/>
              </w:rPr>
            </w:pPr>
            <w:r>
              <w:t>Y</w:t>
            </w:r>
            <w:r w:rsidRPr="007662D9">
              <w:t xml:space="preserve">ear-on-year increase in participation by </w:t>
            </w:r>
            <w:r>
              <w:t>key target groups</w:t>
            </w:r>
            <w:r>
              <w:rPr>
                <w:rStyle w:val="FootnoteReference"/>
              </w:rPr>
              <w:footnoteReference w:id="5"/>
            </w:r>
          </w:p>
        </w:tc>
        <w:tc>
          <w:tcPr>
            <w:tcW w:w="2363" w:type="dxa"/>
            <w:shd w:val="clear" w:color="auto" w:fill="auto"/>
          </w:tcPr>
          <w:p w:rsidR="000B1444" w:rsidRDefault="000B1444" w:rsidP="004B48AF">
            <w:pPr>
              <w:pStyle w:val="Default"/>
              <w:jc w:val="center"/>
            </w:pPr>
            <w:r>
              <w:t>484,000</w:t>
            </w:r>
          </w:p>
          <w:p w:rsidR="004E7BE4" w:rsidRDefault="004E7BE4" w:rsidP="004B48AF">
            <w:pPr>
              <w:pStyle w:val="Default"/>
              <w:jc w:val="center"/>
            </w:pPr>
            <w:r>
              <w:t>visits</w:t>
            </w:r>
          </w:p>
        </w:tc>
        <w:tc>
          <w:tcPr>
            <w:tcW w:w="2218" w:type="dxa"/>
            <w:shd w:val="clear" w:color="auto" w:fill="auto"/>
          </w:tcPr>
          <w:p w:rsidR="000B1444" w:rsidRDefault="006815D1" w:rsidP="004B48AF">
            <w:pPr>
              <w:pStyle w:val="Default"/>
              <w:jc w:val="center"/>
            </w:pPr>
            <w:r>
              <w:t>508,200</w:t>
            </w:r>
          </w:p>
          <w:p w:rsidR="004E7BE4" w:rsidRDefault="004E7BE4" w:rsidP="004B48AF">
            <w:pPr>
              <w:pStyle w:val="Default"/>
              <w:jc w:val="center"/>
            </w:pPr>
            <w:r>
              <w:t>visits</w:t>
            </w:r>
          </w:p>
        </w:tc>
      </w:tr>
      <w:tr w:rsidR="004E7BE4" w:rsidRPr="003648A1" w:rsidTr="004B48AF">
        <w:tc>
          <w:tcPr>
            <w:tcW w:w="4784" w:type="dxa"/>
            <w:shd w:val="clear" w:color="auto" w:fill="auto"/>
          </w:tcPr>
          <w:p w:rsidR="004E7BE4" w:rsidRPr="004B48AF" w:rsidRDefault="004E7BE4" w:rsidP="004B48AF">
            <w:pPr>
              <w:jc w:val="both"/>
              <w:rPr>
                <w:rFonts w:cs="Arial"/>
                <w:bCs/>
              </w:rPr>
            </w:pPr>
            <w:r w:rsidRPr="004B48AF">
              <w:rPr>
                <w:rFonts w:cs="Arial"/>
                <w:bCs/>
              </w:rPr>
              <w:t>To maintain customer satisfaction levels at leisure facilities above 95% (Good, Satisfactory, Excellent).</w:t>
            </w:r>
          </w:p>
          <w:p w:rsidR="004E7BE4" w:rsidRDefault="004E7BE4" w:rsidP="004B48AF">
            <w:pPr>
              <w:pStyle w:val="Default"/>
              <w:jc w:val="both"/>
            </w:pPr>
          </w:p>
        </w:tc>
        <w:tc>
          <w:tcPr>
            <w:tcW w:w="2363" w:type="dxa"/>
            <w:shd w:val="clear" w:color="auto" w:fill="auto"/>
          </w:tcPr>
          <w:p w:rsidR="004E7BE4" w:rsidRDefault="004E7BE4" w:rsidP="004B48AF">
            <w:pPr>
              <w:pStyle w:val="Default"/>
              <w:jc w:val="center"/>
            </w:pPr>
          </w:p>
          <w:p w:rsidR="004E7BE4" w:rsidRDefault="004E7BE4" w:rsidP="004B48AF">
            <w:pPr>
              <w:pStyle w:val="Default"/>
              <w:jc w:val="center"/>
            </w:pPr>
          </w:p>
          <w:p w:rsidR="004E7BE4" w:rsidRDefault="00390243" w:rsidP="004B48AF">
            <w:pPr>
              <w:pStyle w:val="Default"/>
              <w:jc w:val="center"/>
            </w:pPr>
            <w:r>
              <w:t>92</w:t>
            </w:r>
            <w:r w:rsidR="004E7BE4" w:rsidRPr="00C40838">
              <w:t>%</w:t>
            </w:r>
          </w:p>
        </w:tc>
        <w:tc>
          <w:tcPr>
            <w:tcW w:w="2218" w:type="dxa"/>
            <w:shd w:val="clear" w:color="auto" w:fill="auto"/>
          </w:tcPr>
          <w:p w:rsidR="004E7BE4" w:rsidRDefault="004E7BE4" w:rsidP="004B48AF">
            <w:pPr>
              <w:pStyle w:val="Default"/>
              <w:jc w:val="center"/>
            </w:pPr>
          </w:p>
          <w:p w:rsidR="004E7BE4" w:rsidRDefault="004E7BE4" w:rsidP="004B48AF">
            <w:pPr>
              <w:pStyle w:val="Default"/>
              <w:jc w:val="center"/>
            </w:pPr>
          </w:p>
          <w:p w:rsidR="004E7BE4" w:rsidRDefault="004E7BE4" w:rsidP="004B48AF">
            <w:pPr>
              <w:pStyle w:val="Default"/>
              <w:jc w:val="center"/>
            </w:pPr>
            <w:r>
              <w:t xml:space="preserve">&gt; </w:t>
            </w:r>
            <w:r w:rsidRPr="00C40838">
              <w:t>95%</w:t>
            </w:r>
          </w:p>
        </w:tc>
      </w:tr>
      <w:tr w:rsidR="004E7BE4" w:rsidRPr="003648A1" w:rsidTr="004B48AF">
        <w:tc>
          <w:tcPr>
            <w:tcW w:w="4784" w:type="dxa"/>
            <w:shd w:val="clear" w:color="auto" w:fill="auto"/>
          </w:tcPr>
          <w:p w:rsidR="004E7BE4" w:rsidRPr="007662D9" w:rsidRDefault="004E7BE4" w:rsidP="004B48AF">
            <w:pPr>
              <w:pStyle w:val="Default"/>
              <w:jc w:val="both"/>
            </w:pPr>
            <w:r>
              <w:t>Striving for excellence with the aim on achieving a</w:t>
            </w:r>
            <w:r w:rsidR="00B45EBF">
              <w:t xml:space="preserve"> good or </w:t>
            </w:r>
            <w:r>
              <w:t>excellent customer satisfaction rating.</w:t>
            </w:r>
          </w:p>
        </w:tc>
        <w:tc>
          <w:tcPr>
            <w:tcW w:w="2363" w:type="dxa"/>
            <w:shd w:val="clear" w:color="auto" w:fill="auto"/>
          </w:tcPr>
          <w:p w:rsidR="006815D1" w:rsidRDefault="006815D1" w:rsidP="004B48AF">
            <w:pPr>
              <w:pStyle w:val="Default"/>
              <w:jc w:val="center"/>
            </w:pPr>
          </w:p>
          <w:p w:rsidR="004E7BE4" w:rsidRPr="007662D9" w:rsidRDefault="006815D1" w:rsidP="004B48AF">
            <w:pPr>
              <w:pStyle w:val="Default"/>
              <w:jc w:val="center"/>
            </w:pPr>
            <w:r>
              <w:t>60</w:t>
            </w:r>
            <w:r w:rsidR="004E7BE4">
              <w:t xml:space="preserve">% </w:t>
            </w:r>
          </w:p>
        </w:tc>
        <w:tc>
          <w:tcPr>
            <w:tcW w:w="2218" w:type="dxa"/>
            <w:shd w:val="clear" w:color="auto" w:fill="auto"/>
          </w:tcPr>
          <w:p w:rsidR="006815D1" w:rsidRDefault="006815D1" w:rsidP="004B48AF">
            <w:pPr>
              <w:pStyle w:val="Default"/>
              <w:jc w:val="center"/>
            </w:pPr>
          </w:p>
          <w:p w:rsidR="004E7BE4" w:rsidRPr="007662D9" w:rsidRDefault="006815D1" w:rsidP="004B48AF">
            <w:pPr>
              <w:pStyle w:val="Default"/>
              <w:jc w:val="center"/>
            </w:pPr>
            <w:r>
              <w:t>60</w:t>
            </w:r>
            <w:r w:rsidR="004E7BE4" w:rsidRPr="00C40838">
              <w:t>%</w:t>
            </w:r>
          </w:p>
        </w:tc>
      </w:tr>
      <w:tr w:rsidR="004E7BE4" w:rsidRPr="003648A1" w:rsidTr="004B48AF">
        <w:tc>
          <w:tcPr>
            <w:tcW w:w="4784" w:type="dxa"/>
            <w:shd w:val="clear" w:color="auto" w:fill="auto"/>
          </w:tcPr>
          <w:p w:rsidR="004E7BE4" w:rsidRPr="004B48AF" w:rsidRDefault="004E7BE4" w:rsidP="00C64FC7">
            <w:pPr>
              <w:jc w:val="both"/>
              <w:rPr>
                <w:rFonts w:cs="Arial"/>
              </w:rPr>
            </w:pPr>
            <w:r w:rsidRPr="004B48AF">
              <w:rPr>
                <w:rFonts w:cs="Arial"/>
              </w:rPr>
              <w:t>To retain Quest accreditation at f</w:t>
            </w:r>
            <w:r w:rsidR="00C64FC7">
              <w:rPr>
                <w:rFonts w:cs="Arial"/>
              </w:rPr>
              <w:t xml:space="preserve">our </w:t>
            </w:r>
            <w:r w:rsidRPr="004B48AF">
              <w:rPr>
                <w:rFonts w:cs="Arial"/>
              </w:rPr>
              <w:t>facilities at least “good” level. One at Quest Excellence</w:t>
            </w:r>
          </w:p>
        </w:tc>
        <w:tc>
          <w:tcPr>
            <w:tcW w:w="2363" w:type="dxa"/>
            <w:shd w:val="clear" w:color="auto" w:fill="auto"/>
          </w:tcPr>
          <w:p w:rsidR="006815D1" w:rsidRDefault="006815D1" w:rsidP="004B48AF">
            <w:pPr>
              <w:pStyle w:val="CharChar1CharCharCharCharCharCharChar"/>
              <w:jc w:val="center"/>
              <w:rPr>
                <w:rFonts w:ascii="Arial" w:hAnsi="Arial" w:cs="Arial"/>
              </w:rPr>
            </w:pPr>
          </w:p>
          <w:p w:rsidR="004E7BE4" w:rsidRPr="004B48AF" w:rsidRDefault="004E7BE4" w:rsidP="004B48AF">
            <w:pPr>
              <w:pStyle w:val="CharChar1CharCharCharCharCharCharChar"/>
              <w:jc w:val="center"/>
              <w:rPr>
                <w:rFonts w:ascii="Arial" w:hAnsi="Arial" w:cs="Arial"/>
              </w:rPr>
            </w:pPr>
            <w:r w:rsidRPr="004B48AF">
              <w:rPr>
                <w:rFonts w:ascii="Arial" w:hAnsi="Arial" w:cs="Arial"/>
              </w:rPr>
              <w:t>5 facilities</w:t>
            </w:r>
          </w:p>
        </w:tc>
        <w:tc>
          <w:tcPr>
            <w:tcW w:w="2218" w:type="dxa"/>
            <w:shd w:val="clear" w:color="auto" w:fill="auto"/>
          </w:tcPr>
          <w:p w:rsidR="006815D1" w:rsidRDefault="006815D1" w:rsidP="004B48AF">
            <w:pPr>
              <w:pStyle w:val="Default"/>
              <w:jc w:val="center"/>
            </w:pPr>
          </w:p>
          <w:p w:rsidR="004E7BE4" w:rsidRPr="007662D9" w:rsidRDefault="004E7BE4" w:rsidP="004B48AF">
            <w:pPr>
              <w:pStyle w:val="Default"/>
              <w:jc w:val="center"/>
            </w:pPr>
            <w:r w:rsidRPr="007662D9">
              <w:t>5 facilities</w:t>
            </w:r>
          </w:p>
          <w:p w:rsidR="004E7BE4" w:rsidRPr="007662D9" w:rsidRDefault="004E7BE4" w:rsidP="004B48AF">
            <w:pPr>
              <w:pStyle w:val="Default"/>
              <w:jc w:val="center"/>
            </w:pPr>
          </w:p>
        </w:tc>
      </w:tr>
      <w:tr w:rsidR="00C0765F" w:rsidRPr="00C0765F" w:rsidTr="004B48AF">
        <w:tc>
          <w:tcPr>
            <w:tcW w:w="4784" w:type="dxa"/>
            <w:shd w:val="clear" w:color="auto" w:fill="auto"/>
          </w:tcPr>
          <w:p w:rsidR="004E7BE4" w:rsidRPr="00C0765F" w:rsidRDefault="001268E4" w:rsidP="004B48AF">
            <w:pPr>
              <w:pStyle w:val="Default"/>
              <w:jc w:val="both"/>
              <w:rPr>
                <w:color w:val="FF0000"/>
              </w:rPr>
            </w:pPr>
            <w:r w:rsidRPr="001268E4">
              <w:rPr>
                <w:color w:val="auto"/>
              </w:rPr>
              <w:t>Contribute to the Council</w:t>
            </w:r>
            <w:r>
              <w:rPr>
                <w:color w:val="auto"/>
              </w:rPr>
              <w:t>’</w:t>
            </w:r>
            <w:r w:rsidRPr="001268E4">
              <w:rPr>
                <w:color w:val="auto"/>
              </w:rPr>
              <w:t>s delivery of a 5% minimum reduction in carbon emissions year-on-year</w:t>
            </w:r>
            <w:r>
              <w:rPr>
                <w:color w:val="auto"/>
              </w:rPr>
              <w:t>.</w:t>
            </w:r>
          </w:p>
        </w:tc>
        <w:tc>
          <w:tcPr>
            <w:tcW w:w="2363" w:type="dxa"/>
            <w:shd w:val="clear" w:color="auto" w:fill="auto"/>
          </w:tcPr>
          <w:p w:rsidR="004E7BE4" w:rsidRPr="001268E4" w:rsidRDefault="004E7BE4" w:rsidP="004B48AF">
            <w:pPr>
              <w:pStyle w:val="Default"/>
              <w:jc w:val="center"/>
              <w:rPr>
                <w:color w:val="auto"/>
              </w:rPr>
            </w:pPr>
          </w:p>
          <w:p w:rsidR="004E7BE4" w:rsidRPr="001268E4" w:rsidRDefault="004E7BE4" w:rsidP="00C64FC7">
            <w:pPr>
              <w:pStyle w:val="Default"/>
              <w:numPr>
                <w:ilvl w:val="0"/>
                <w:numId w:val="45"/>
              </w:numPr>
              <w:rPr>
                <w:color w:val="auto"/>
              </w:rPr>
            </w:pPr>
            <w:r w:rsidRPr="001268E4">
              <w:rPr>
                <w:color w:val="auto"/>
              </w:rPr>
              <w:t>per cent</w:t>
            </w:r>
            <w:r w:rsidR="00C0765F" w:rsidRPr="001268E4">
              <w:rPr>
                <w:color w:val="auto"/>
              </w:rPr>
              <w:t xml:space="preserve"> </w:t>
            </w:r>
          </w:p>
        </w:tc>
        <w:tc>
          <w:tcPr>
            <w:tcW w:w="2218" w:type="dxa"/>
            <w:shd w:val="clear" w:color="auto" w:fill="auto"/>
          </w:tcPr>
          <w:p w:rsidR="004E7BE4" w:rsidRPr="001268E4" w:rsidRDefault="004E7BE4" w:rsidP="004B48AF">
            <w:pPr>
              <w:pStyle w:val="Default"/>
              <w:jc w:val="center"/>
              <w:rPr>
                <w:color w:val="auto"/>
              </w:rPr>
            </w:pPr>
          </w:p>
          <w:p w:rsidR="004E7BE4" w:rsidRPr="001268E4" w:rsidRDefault="001268E4" w:rsidP="006815D1">
            <w:pPr>
              <w:pStyle w:val="Default"/>
              <w:jc w:val="center"/>
              <w:rPr>
                <w:color w:val="auto"/>
              </w:rPr>
            </w:pPr>
            <w:r w:rsidRPr="001268E4">
              <w:rPr>
                <w:color w:val="auto"/>
              </w:rPr>
              <w:t>5</w:t>
            </w:r>
            <w:r w:rsidR="004E7BE4" w:rsidRPr="001268E4">
              <w:rPr>
                <w:color w:val="auto"/>
              </w:rPr>
              <w:t xml:space="preserve"> per cent</w:t>
            </w:r>
          </w:p>
        </w:tc>
      </w:tr>
    </w:tbl>
    <w:p w:rsidR="004E7BE4" w:rsidRDefault="004E7BE4" w:rsidP="004E7BE4">
      <w:pPr>
        <w:ind w:left="426" w:hanging="426"/>
        <w:rPr>
          <w:b/>
        </w:rPr>
      </w:pPr>
    </w:p>
    <w:p w:rsidR="000B1444" w:rsidRPr="00C05C8D" w:rsidRDefault="000B1444" w:rsidP="007B5E0A">
      <w:pPr>
        <w:pStyle w:val="ListParagraph"/>
        <w:jc w:val="both"/>
        <w:rPr>
          <w:rFonts w:eastAsia="Symbol"/>
        </w:rPr>
      </w:pPr>
      <w:r>
        <w:t>Overall visits have</w:t>
      </w:r>
      <w:r w:rsidRPr="0000310A">
        <w:t xml:space="preserve"> increased 32 per cent on pre contract levels, now totalling </w:t>
      </w:r>
      <w:r w:rsidRPr="00C05C8D">
        <w:t>around 1.25 million visits a year.</w:t>
      </w:r>
    </w:p>
    <w:p w:rsidR="000B1444" w:rsidRPr="00C05C8D" w:rsidRDefault="000B1444" w:rsidP="007B5E0A">
      <w:pPr>
        <w:pStyle w:val="ListParagraph"/>
        <w:jc w:val="both"/>
        <w:rPr>
          <w:rFonts w:eastAsia="Symbol"/>
        </w:rPr>
      </w:pPr>
      <w:r w:rsidRPr="00C05C8D">
        <w:rPr>
          <w:rFonts w:eastAsia="Symbol"/>
        </w:rPr>
        <w:t>The main increase in usage is in our target groups (people from areas of deprivation, Black, Asian and Minority Ethnic Groups (BAME), people, older people, disabled people, women and girls and under-17s), which have increased from 206,000 visits in 2009/10 to 445,000 visits in 2016/17</w:t>
      </w:r>
      <w:r>
        <w:rPr>
          <w:rFonts w:eastAsia="Symbol" w:cs="Arial"/>
        </w:rPr>
        <w:t>.</w:t>
      </w:r>
    </w:p>
    <w:p w:rsidR="004E7BE4" w:rsidRPr="00883DEB" w:rsidRDefault="004E7BE4" w:rsidP="007B5E0A">
      <w:pPr>
        <w:pStyle w:val="ListParagraph"/>
        <w:jc w:val="both"/>
      </w:pPr>
      <w:r w:rsidRPr="00883DEB">
        <w:t>The overall number of customer visits to leisure facilities in 201</w:t>
      </w:r>
      <w:r w:rsidR="00364E51" w:rsidRPr="00883DEB">
        <w:t>6</w:t>
      </w:r>
      <w:r w:rsidRPr="00883DEB">
        <w:t>/1</w:t>
      </w:r>
      <w:r w:rsidR="00364E51" w:rsidRPr="00883DEB">
        <w:t>7</w:t>
      </w:r>
      <w:r w:rsidRPr="00883DEB">
        <w:t xml:space="preserve">, is expected to be 1.4 million, an increase of </w:t>
      </w:r>
      <w:r w:rsidR="000B1444" w:rsidRPr="00883DEB">
        <w:t>36</w:t>
      </w:r>
      <w:r w:rsidRPr="00883DEB">
        <w:t xml:space="preserve"> per cent since contrac</w:t>
      </w:r>
      <w:r w:rsidR="00883DEB" w:rsidRPr="00883DEB">
        <w:t>t commencement; approximately 504</w:t>
      </w:r>
      <w:r w:rsidRPr="00883DEB">
        <w:t>,000 more visits per annum when compared with the period prior to the transfer to Fusion.</w:t>
      </w:r>
    </w:p>
    <w:p w:rsidR="004E7BE4" w:rsidRDefault="00CA4B03" w:rsidP="007B5E0A">
      <w:pPr>
        <w:pStyle w:val="ListParagraph"/>
        <w:jc w:val="both"/>
      </w:pPr>
      <w:r>
        <w:lastRenderedPageBreak/>
        <w:t>T</w:t>
      </w:r>
      <w:r w:rsidR="00364E51">
        <w:t>he 2016</w:t>
      </w:r>
      <w:r w:rsidR="004E7BE4">
        <w:t>/1</w:t>
      </w:r>
      <w:r w:rsidR="00364E51">
        <w:t>7</w:t>
      </w:r>
      <w:r w:rsidR="004E7BE4">
        <w:t xml:space="preserve"> figures are </w:t>
      </w:r>
      <w:r w:rsidR="006815D1">
        <w:t>provisional;</w:t>
      </w:r>
      <w:r w:rsidR="00883DEB">
        <w:t xml:space="preserve"> we will have </w:t>
      </w:r>
      <w:r w:rsidR="004E7BE4">
        <w:t>final participation figures from Fusion</w:t>
      </w:r>
      <w:r w:rsidR="00883DEB">
        <w:t xml:space="preserve"> in early April 2017</w:t>
      </w:r>
      <w:r w:rsidR="004E7BE4">
        <w:t>.</w:t>
      </w:r>
    </w:p>
    <w:p w:rsidR="00364E51" w:rsidRDefault="004E7BE4" w:rsidP="007B5E0A">
      <w:pPr>
        <w:pStyle w:val="ListParagraph"/>
        <w:jc w:val="both"/>
      </w:pPr>
      <w:r w:rsidRPr="00131A5A">
        <w:t>Over the next year we will be investing</w:t>
      </w:r>
      <w:r>
        <w:t xml:space="preserve"> £50,000</w:t>
      </w:r>
      <w:r w:rsidRPr="00131A5A">
        <w:t xml:space="preserve"> in planned </w:t>
      </w:r>
      <w:r>
        <w:t>maintenance</w:t>
      </w:r>
      <w:r w:rsidR="00364E51">
        <w:t>.</w:t>
      </w:r>
    </w:p>
    <w:p w:rsidR="004E7BE4" w:rsidRDefault="004E7BE4" w:rsidP="007B5E0A">
      <w:pPr>
        <w:pStyle w:val="ListParagraph"/>
        <w:spacing w:after="0"/>
        <w:jc w:val="both"/>
        <w:rPr>
          <w:rFonts w:cs="Arial"/>
        </w:rPr>
      </w:pPr>
      <w:r w:rsidRPr="00613088">
        <w:rPr>
          <w:rFonts w:cs="Arial"/>
        </w:rPr>
        <w:t>Competitor benchmarking against neighbouring leisure providers continues to demonstrate that fees and charges in city leisure facilities continue to be at least comparable.</w:t>
      </w:r>
    </w:p>
    <w:p w:rsidR="00C0765F" w:rsidRDefault="00C0765F" w:rsidP="00C0765F">
      <w:pPr>
        <w:pStyle w:val="ListParagraph"/>
        <w:numPr>
          <w:ilvl w:val="0"/>
          <w:numId w:val="0"/>
        </w:numPr>
        <w:spacing w:after="0"/>
        <w:ind w:left="426"/>
        <w:jc w:val="both"/>
        <w:rPr>
          <w:rFonts w:cs="Arial"/>
        </w:rPr>
      </w:pPr>
    </w:p>
    <w:p w:rsidR="00C0765F" w:rsidRDefault="001268E4" w:rsidP="001268E4">
      <w:pPr>
        <w:spacing w:after="0"/>
        <w:ind w:left="426" w:hanging="426"/>
        <w:jc w:val="both"/>
        <w:rPr>
          <w:rFonts w:cs="Arial"/>
          <w:b/>
          <w:color w:val="auto"/>
        </w:rPr>
      </w:pPr>
      <w:r>
        <w:rPr>
          <w:rFonts w:cs="Arial"/>
          <w:b/>
          <w:color w:val="auto"/>
        </w:rPr>
        <w:t>Key focus areas for 201</w:t>
      </w:r>
      <w:r w:rsidR="00C0765F" w:rsidRPr="001268E4">
        <w:rPr>
          <w:rFonts w:cs="Arial"/>
          <w:b/>
          <w:color w:val="auto"/>
        </w:rPr>
        <w:t xml:space="preserve">7/18 </w:t>
      </w:r>
    </w:p>
    <w:p w:rsidR="001268E4" w:rsidRPr="005073AF" w:rsidRDefault="001268E4" w:rsidP="001268E4">
      <w:pPr>
        <w:spacing w:after="0"/>
        <w:ind w:left="426" w:hanging="426"/>
        <w:jc w:val="both"/>
        <w:rPr>
          <w:rFonts w:cs="Arial"/>
          <w:b/>
          <w:color w:val="auto"/>
        </w:rPr>
      </w:pPr>
    </w:p>
    <w:p w:rsidR="001F4DAC" w:rsidRPr="005073AF" w:rsidRDefault="002A713B" w:rsidP="00C0765F">
      <w:pPr>
        <w:pStyle w:val="ListParagraph"/>
        <w:rPr>
          <w:rFonts w:cs="Arial"/>
          <w:color w:val="auto"/>
        </w:rPr>
      </w:pPr>
      <w:r w:rsidRPr="005073AF">
        <w:rPr>
          <w:rFonts w:cs="Arial"/>
          <w:color w:val="auto"/>
        </w:rPr>
        <w:t>A number of commitments were agreed - by the Leisure Partnership Board - within the business planning process for inclusion in the 2017/18 Plan.</w:t>
      </w:r>
    </w:p>
    <w:p w:rsidR="002A713B" w:rsidRPr="005073AF" w:rsidRDefault="002A713B" w:rsidP="001F4DAC">
      <w:pPr>
        <w:pStyle w:val="ListParagraph"/>
        <w:numPr>
          <w:ilvl w:val="0"/>
          <w:numId w:val="46"/>
        </w:numPr>
        <w:rPr>
          <w:rFonts w:cs="Arial"/>
          <w:color w:val="auto"/>
        </w:rPr>
      </w:pPr>
      <w:r w:rsidRPr="005073AF">
        <w:rPr>
          <w:rFonts w:cs="Arial"/>
          <w:color w:val="auto"/>
        </w:rPr>
        <w:t xml:space="preserve">To look at the good/excellent rating of customer service, aiming for a 60% </w:t>
      </w:r>
      <w:r w:rsidR="00F86532">
        <w:rPr>
          <w:rFonts w:cs="Arial"/>
          <w:color w:val="auto"/>
        </w:rPr>
        <w:t xml:space="preserve">excellent </w:t>
      </w:r>
      <w:r w:rsidR="00455E64">
        <w:rPr>
          <w:rFonts w:cs="Arial"/>
          <w:color w:val="auto"/>
        </w:rPr>
        <w:t>rating</w:t>
      </w:r>
      <w:r w:rsidRPr="005073AF">
        <w:rPr>
          <w:rFonts w:cs="Arial"/>
          <w:color w:val="auto"/>
        </w:rPr>
        <w:t xml:space="preserve"> in 2017/18.</w:t>
      </w:r>
    </w:p>
    <w:p w:rsidR="002A713B" w:rsidRPr="005073AF" w:rsidRDefault="002A713B" w:rsidP="001F4DAC">
      <w:pPr>
        <w:pStyle w:val="ListParagraph"/>
        <w:numPr>
          <w:ilvl w:val="0"/>
          <w:numId w:val="46"/>
        </w:numPr>
        <w:rPr>
          <w:rFonts w:cs="Arial"/>
          <w:color w:val="auto"/>
        </w:rPr>
      </w:pPr>
      <w:r w:rsidRPr="005073AF">
        <w:rPr>
          <w:rFonts w:cs="Arial"/>
          <w:color w:val="auto"/>
        </w:rPr>
        <w:t>To increase participation by a minimum of 5% and in some cases 15%.</w:t>
      </w:r>
    </w:p>
    <w:p w:rsidR="002A713B" w:rsidRPr="005073AF" w:rsidRDefault="002A713B" w:rsidP="001F4DAC">
      <w:pPr>
        <w:pStyle w:val="ListParagraph"/>
        <w:numPr>
          <w:ilvl w:val="0"/>
          <w:numId w:val="46"/>
        </w:numPr>
        <w:rPr>
          <w:rFonts w:cs="Arial"/>
          <w:color w:val="auto"/>
        </w:rPr>
      </w:pPr>
      <w:r w:rsidRPr="005073AF">
        <w:rPr>
          <w:rFonts w:cs="Arial"/>
          <w:color w:val="auto"/>
        </w:rPr>
        <w:t>For Fusion to increase income and reduce deficit in 2017/18 to sufficient levels to produce a surplus in all sites.</w:t>
      </w:r>
    </w:p>
    <w:p w:rsidR="002A713B" w:rsidRPr="009245AB" w:rsidRDefault="002A713B" w:rsidP="001F4DAC">
      <w:pPr>
        <w:pStyle w:val="ListParagraph"/>
        <w:numPr>
          <w:ilvl w:val="0"/>
          <w:numId w:val="46"/>
        </w:numPr>
        <w:rPr>
          <w:rFonts w:cs="Arial"/>
          <w:color w:val="auto"/>
        </w:rPr>
      </w:pPr>
      <w:r w:rsidRPr="00C46A7D">
        <w:rPr>
          <w:rFonts w:cs="Arial"/>
          <w:color w:val="auto"/>
        </w:rPr>
        <w:t xml:space="preserve">To contribute to the delivery of the Council’s targets of reducing carbon </w:t>
      </w:r>
      <w:r w:rsidRPr="009245AB">
        <w:rPr>
          <w:rFonts w:cs="Arial"/>
          <w:color w:val="auto"/>
        </w:rPr>
        <w:t>emissions by a minimum 5% year-on-year.</w:t>
      </w:r>
    </w:p>
    <w:p w:rsidR="002A713B" w:rsidRPr="009245AB" w:rsidRDefault="002A713B" w:rsidP="001F4DAC">
      <w:pPr>
        <w:pStyle w:val="ListParagraph"/>
        <w:numPr>
          <w:ilvl w:val="0"/>
          <w:numId w:val="46"/>
        </w:numPr>
        <w:rPr>
          <w:rFonts w:cs="Arial"/>
          <w:color w:val="auto"/>
        </w:rPr>
      </w:pPr>
      <w:r w:rsidRPr="009245AB">
        <w:rPr>
          <w:rFonts w:cs="Arial"/>
          <w:color w:val="auto"/>
        </w:rPr>
        <w:t>To maintain at all facilities the UK quality award scheme accreditation QUEST score of at least ‘Good’</w:t>
      </w:r>
      <w:r w:rsidR="009C3EF1" w:rsidRPr="009245AB">
        <w:rPr>
          <w:rFonts w:cs="Arial"/>
          <w:color w:val="auto"/>
        </w:rPr>
        <w:t xml:space="preserve">, </w:t>
      </w:r>
      <w:r w:rsidRPr="009245AB">
        <w:rPr>
          <w:rFonts w:cs="Arial"/>
          <w:color w:val="auto"/>
        </w:rPr>
        <w:t>target Ferry Leisure Centre to maintain it’s ‘Excellent rating’</w:t>
      </w:r>
      <w:r w:rsidR="009C3EF1" w:rsidRPr="009245AB">
        <w:rPr>
          <w:rFonts w:cs="Arial"/>
          <w:color w:val="auto"/>
        </w:rPr>
        <w:t xml:space="preserve"> and press Fusion to work towards an ‘Excellent rating’ for Leys Pools and Leisure Centre</w:t>
      </w:r>
      <w:r w:rsidRPr="009245AB">
        <w:rPr>
          <w:rFonts w:cs="Arial"/>
          <w:color w:val="auto"/>
        </w:rPr>
        <w:t>.</w:t>
      </w:r>
      <w:r w:rsidR="009C3EF1" w:rsidRPr="009245AB">
        <w:rPr>
          <w:rFonts w:cs="Arial"/>
          <w:color w:val="auto"/>
        </w:rPr>
        <w:t xml:space="preserve"> </w:t>
      </w:r>
    </w:p>
    <w:p w:rsidR="00090B80" w:rsidRPr="009245AB" w:rsidRDefault="009C3EF1" w:rsidP="001F4DAC">
      <w:pPr>
        <w:pStyle w:val="ListParagraph"/>
        <w:numPr>
          <w:ilvl w:val="0"/>
          <w:numId w:val="46"/>
        </w:numPr>
        <w:rPr>
          <w:rFonts w:cs="Arial"/>
          <w:color w:val="auto"/>
        </w:rPr>
      </w:pPr>
      <w:r w:rsidRPr="009245AB">
        <w:rPr>
          <w:rFonts w:cs="Arial"/>
          <w:color w:val="auto"/>
        </w:rPr>
        <w:t xml:space="preserve">Review the </w:t>
      </w:r>
      <w:r w:rsidR="00455E64" w:rsidRPr="009245AB">
        <w:rPr>
          <w:rFonts w:cs="Arial"/>
          <w:color w:val="auto"/>
        </w:rPr>
        <w:t>C</w:t>
      </w:r>
      <w:r w:rsidRPr="009245AB">
        <w:rPr>
          <w:rFonts w:cs="Arial"/>
          <w:color w:val="auto"/>
        </w:rPr>
        <w:t xml:space="preserve">ouncil funded free swimming session and lesson schemes </w:t>
      </w:r>
      <w:r w:rsidR="00090B80" w:rsidRPr="009245AB">
        <w:rPr>
          <w:rFonts w:cs="Arial"/>
          <w:color w:val="auto"/>
        </w:rPr>
        <w:t>and</w:t>
      </w:r>
      <w:r w:rsidRPr="009245AB">
        <w:rPr>
          <w:rFonts w:cs="Arial"/>
          <w:color w:val="auto"/>
        </w:rPr>
        <w:t xml:space="preserve"> implement a communications plan to promote provision.</w:t>
      </w:r>
    </w:p>
    <w:p w:rsidR="007265D6" w:rsidRPr="009245AB" w:rsidRDefault="007265D6" w:rsidP="001F4DAC">
      <w:pPr>
        <w:pStyle w:val="ListParagraph"/>
        <w:numPr>
          <w:ilvl w:val="0"/>
          <w:numId w:val="46"/>
        </w:numPr>
        <w:rPr>
          <w:rFonts w:cs="Arial"/>
          <w:color w:val="auto"/>
        </w:rPr>
      </w:pPr>
      <w:r w:rsidRPr="009245AB">
        <w:rPr>
          <w:rFonts w:cs="Arial"/>
          <w:color w:val="auto"/>
        </w:rPr>
        <w:t>To prioritise feasibility opportunities for crèche facilities at Ferry Leisure Centre in 2017.</w:t>
      </w:r>
    </w:p>
    <w:p w:rsidR="005073AF" w:rsidRPr="009245AB" w:rsidRDefault="001F4DAC" w:rsidP="007265D6">
      <w:pPr>
        <w:pStyle w:val="ListParagraph"/>
        <w:numPr>
          <w:ilvl w:val="0"/>
          <w:numId w:val="46"/>
        </w:numPr>
        <w:rPr>
          <w:b/>
        </w:rPr>
      </w:pPr>
      <w:r w:rsidRPr="009245AB">
        <w:rPr>
          <w:rFonts w:cs="Arial"/>
          <w:color w:val="auto"/>
        </w:rPr>
        <w:t xml:space="preserve">Development of the </w:t>
      </w:r>
      <w:r w:rsidR="002A713B" w:rsidRPr="009245AB">
        <w:rPr>
          <w:rFonts w:cs="Arial"/>
          <w:color w:val="auto"/>
        </w:rPr>
        <w:t>Horspath Sports village</w:t>
      </w:r>
      <w:r w:rsidR="00090B80" w:rsidRPr="009245AB">
        <w:rPr>
          <w:rFonts w:cs="Arial"/>
          <w:color w:val="auto"/>
        </w:rPr>
        <w:t xml:space="preserve"> in partnership with key stakeholders</w:t>
      </w:r>
      <w:r w:rsidR="007265D6" w:rsidRPr="009245AB">
        <w:rPr>
          <w:rFonts w:cs="Arial"/>
          <w:color w:val="auto"/>
        </w:rPr>
        <w:t xml:space="preserve"> (including </w:t>
      </w:r>
      <w:r w:rsidR="007265D6" w:rsidRPr="009245AB">
        <w:rPr>
          <w:lang w:val="en-US"/>
        </w:rPr>
        <w:t>Oxford City Athletics Club)</w:t>
      </w:r>
      <w:r w:rsidR="007265D6" w:rsidRPr="009245AB">
        <w:rPr>
          <w:rFonts w:cs="Arial"/>
          <w:color w:val="auto"/>
        </w:rPr>
        <w:t>.</w:t>
      </w:r>
      <w:r w:rsidR="007265D6" w:rsidRPr="009245AB">
        <w:rPr>
          <w:b/>
        </w:rPr>
        <w:t xml:space="preserve"> </w:t>
      </w:r>
    </w:p>
    <w:p w:rsidR="004E7BE4" w:rsidRPr="00963251" w:rsidRDefault="004E7BE4" w:rsidP="007B5E0A">
      <w:pPr>
        <w:ind w:left="426" w:hanging="426"/>
        <w:jc w:val="both"/>
        <w:rPr>
          <w:b/>
        </w:rPr>
      </w:pPr>
      <w:r w:rsidRPr="00C46A7D">
        <w:rPr>
          <w:b/>
        </w:rPr>
        <w:t>Performance Management</w:t>
      </w:r>
      <w:r w:rsidRPr="00963251">
        <w:rPr>
          <w:b/>
        </w:rPr>
        <w:t xml:space="preserve"> </w:t>
      </w:r>
    </w:p>
    <w:p w:rsidR="004E7BE4" w:rsidRDefault="004E7BE4" w:rsidP="007B5E0A">
      <w:pPr>
        <w:pStyle w:val="ListParagraph"/>
        <w:jc w:val="both"/>
      </w:pPr>
      <w:r w:rsidRPr="007662D9">
        <w:t xml:space="preserve">There will be an on-going review and monitoring process for the </w:t>
      </w:r>
      <w:r>
        <w:t>P</w:t>
      </w:r>
      <w:r w:rsidRPr="007662D9">
        <w:t>lan. This will incorporate management scrutiny, monthly client performance reports, monthly meetings between key representatives of the Council and Fusion, quarterly Leisure Partnership Board meetings and a formal review in advance of the 201</w:t>
      </w:r>
      <w:r w:rsidR="00364E51">
        <w:t>8</w:t>
      </w:r>
      <w:r w:rsidRPr="007662D9">
        <w:t>/1</w:t>
      </w:r>
      <w:r w:rsidR="00364E51">
        <w:t>9</w:t>
      </w:r>
      <w:r w:rsidRPr="007662D9">
        <w:t xml:space="preserve"> planning pro</w:t>
      </w:r>
      <w:r>
        <w:t>cess.</w:t>
      </w:r>
    </w:p>
    <w:p w:rsidR="005073AF" w:rsidRDefault="005073AF" w:rsidP="007B5E0A">
      <w:pPr>
        <w:ind w:left="426" w:hanging="426"/>
        <w:jc w:val="both"/>
        <w:rPr>
          <w:b/>
        </w:rPr>
      </w:pPr>
    </w:p>
    <w:p w:rsidR="004E7BE4" w:rsidRPr="00963251" w:rsidRDefault="004E7BE4" w:rsidP="007B5E0A">
      <w:pPr>
        <w:ind w:left="426" w:hanging="426"/>
        <w:jc w:val="both"/>
        <w:rPr>
          <w:b/>
        </w:rPr>
      </w:pPr>
      <w:r>
        <w:rPr>
          <w:b/>
        </w:rPr>
        <w:t>Environmental</w:t>
      </w:r>
    </w:p>
    <w:p w:rsidR="004E7BE4" w:rsidRDefault="004E7BE4" w:rsidP="007B5E0A">
      <w:pPr>
        <w:pStyle w:val="ListParagraph"/>
        <w:jc w:val="both"/>
      </w:pPr>
      <w:r w:rsidRPr="007662D9">
        <w:t>The Plan has targets and actions that will have a positive environmental impact. These contribute to the Council’s commitment for tackling climate change</w:t>
      </w:r>
      <w:r>
        <w:t xml:space="preserve">, </w:t>
      </w:r>
      <w:r w:rsidRPr="007662D9">
        <w:t>promoting sustainabl</w:t>
      </w:r>
      <w:r>
        <w:t xml:space="preserve">e environmental resources, and </w:t>
      </w:r>
      <w:r w:rsidRPr="007662D9">
        <w:t xml:space="preserve">to the reduction of carbon and water. </w:t>
      </w:r>
      <w:r>
        <w:t>The partnership between the Council and Fusion will continue to stretch this and where additional investment is required it may be possibl</w:t>
      </w:r>
      <w:r w:rsidR="00C64FC7">
        <w:t>e to build sound business case.</w:t>
      </w:r>
    </w:p>
    <w:p w:rsidR="00C64FC7" w:rsidRDefault="00C64FC7" w:rsidP="00C64FC7">
      <w:pPr>
        <w:pStyle w:val="ListParagraph"/>
        <w:numPr>
          <w:ilvl w:val="0"/>
          <w:numId w:val="0"/>
        </w:numPr>
        <w:ind w:left="426"/>
        <w:jc w:val="both"/>
      </w:pPr>
    </w:p>
    <w:p w:rsidR="004E7BE4" w:rsidRPr="001356F1" w:rsidRDefault="004E7BE4" w:rsidP="007B5E0A">
      <w:pPr>
        <w:pStyle w:val="Heading1"/>
        <w:jc w:val="both"/>
      </w:pPr>
      <w:r w:rsidRPr="001356F1">
        <w:lastRenderedPageBreak/>
        <w:t>Financial implications</w:t>
      </w:r>
    </w:p>
    <w:p w:rsidR="004E7BE4" w:rsidRPr="001356F1" w:rsidRDefault="004E7BE4" w:rsidP="007B5E0A">
      <w:pPr>
        <w:pStyle w:val="ListParagraph"/>
        <w:jc w:val="both"/>
      </w:pPr>
      <w:r>
        <w:t>S</w:t>
      </w:r>
      <w:r w:rsidRPr="007662D9">
        <w:t xml:space="preserve">avings </w:t>
      </w:r>
      <w:r>
        <w:t xml:space="preserve">from the contract with Fusion </w:t>
      </w:r>
      <w:r w:rsidRPr="007662D9">
        <w:t>are already reflected in the council’s budget and the risk for achieving these is</w:t>
      </w:r>
      <w:r>
        <w:t xml:space="preserve"> </w:t>
      </w:r>
      <w:r w:rsidRPr="007662D9">
        <w:t xml:space="preserve">Fusions. The management agreement also contains provisions to share </w:t>
      </w:r>
      <w:r w:rsidRPr="001356F1">
        <w:t>Legal issues</w:t>
      </w:r>
      <w:r>
        <w:t>.</w:t>
      </w:r>
    </w:p>
    <w:p w:rsidR="004E7BE4" w:rsidRDefault="004E7BE4" w:rsidP="007B5E0A">
      <w:pPr>
        <w:pStyle w:val="bParagraphtext"/>
        <w:jc w:val="both"/>
      </w:pPr>
      <w:r w:rsidRPr="007662D9">
        <w:t>The Council has a contractual relationship under which the council’s leisure facilities are managed by Fusion. The Leisure Management Agreement sets out the range of contractual requirements</w:t>
      </w:r>
      <w:r>
        <w:t xml:space="preserve"> with which Fusion must comply. Fusion’s delivery of the </w:t>
      </w:r>
      <w:r w:rsidRPr="00C21E4F">
        <w:rPr>
          <w:iCs/>
        </w:rPr>
        <w:t>Service</w:t>
      </w:r>
      <w:r w:rsidRPr="00C21E4F">
        <w:t xml:space="preserve"> </w:t>
      </w:r>
      <w:r>
        <w:t>Plan is a contractual commitment.</w:t>
      </w:r>
    </w:p>
    <w:p w:rsidR="004E7BE4" w:rsidRPr="001356F1" w:rsidRDefault="004E7BE4" w:rsidP="007B5E0A">
      <w:pPr>
        <w:pStyle w:val="Heading1"/>
        <w:jc w:val="both"/>
      </w:pPr>
      <w:r w:rsidRPr="001356F1">
        <w:t>Level of risk</w:t>
      </w:r>
    </w:p>
    <w:p w:rsidR="00364E51" w:rsidRDefault="004E7BE4" w:rsidP="007B5E0A">
      <w:pPr>
        <w:pStyle w:val="ListParagraph"/>
        <w:jc w:val="both"/>
      </w:pPr>
      <w:r w:rsidRPr="007662D9">
        <w:t xml:space="preserve">There is a </w:t>
      </w:r>
      <w:r>
        <w:t>low</w:t>
      </w:r>
      <w:r w:rsidRPr="007662D9">
        <w:t xml:space="preserve"> level of risk to service provision. </w:t>
      </w:r>
      <w:r>
        <w:t xml:space="preserve">The contract has a good track record, strong contract management and member scrutiny. </w:t>
      </w:r>
      <w:r w:rsidRPr="007662D9">
        <w:t>Descriptions and mitigation for this level of risk are demonstrated in th</w:t>
      </w:r>
      <w:r>
        <w:t>e Risk Register, (Appendix Two</w:t>
      </w:r>
      <w:r w:rsidR="00364E51">
        <w:t>).</w:t>
      </w:r>
    </w:p>
    <w:p w:rsidR="00364E51" w:rsidRPr="00364E51" w:rsidRDefault="00364E51" w:rsidP="007B5E0A">
      <w:pPr>
        <w:pStyle w:val="Heading1"/>
        <w:jc w:val="both"/>
      </w:pPr>
      <w:r w:rsidRPr="00364E51">
        <w:t xml:space="preserve">Equalities impact </w:t>
      </w:r>
    </w:p>
    <w:p w:rsidR="00364E51" w:rsidRPr="00364E51" w:rsidRDefault="004E7BE4" w:rsidP="007B5E0A">
      <w:pPr>
        <w:pStyle w:val="ListParagraph"/>
        <w:jc w:val="both"/>
      </w:pPr>
      <w:r w:rsidRPr="00364E51">
        <w:t>Targets and actions within the Plan ensure equitable access to improved facilities</w:t>
      </w:r>
      <w:r w:rsidRPr="007662D9">
        <w:t xml:space="preserve"> and encourage increased usage for under</w:t>
      </w:r>
      <w:r>
        <w:t>r</w:t>
      </w:r>
      <w:r w:rsidRPr="007662D9">
        <w:t>epresented and concessionary groups, in accordance with the equalities impact assessments an</w:t>
      </w:r>
      <w:r>
        <w:t>d action plan, (Appendix Three).</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64E51" w:rsidP="00A46E98">
            <w:r>
              <w:t>Lucy Cherry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64E51" w:rsidP="00364E51">
            <w:r>
              <w:t>Leisure and Performance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64E51"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64E51">
            <w:r w:rsidRPr="001356F1">
              <w:t xml:space="preserve">01865 </w:t>
            </w:r>
            <w:r w:rsidR="00364E51">
              <w:t>252707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64E51" w:rsidP="00A46E98">
            <w:pPr>
              <w:rPr>
                <w:rStyle w:val="Hyperlink"/>
                <w:color w:val="000000"/>
              </w:rPr>
            </w:pPr>
            <w:r>
              <w:rPr>
                <w:rStyle w:val="Hyperlink"/>
                <w:color w:val="000000"/>
              </w:rPr>
              <w:t>lcherry@oxford.gov.uk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7B5E0A">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7B5E0A">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7B5E0A" w:rsidP="00525EE9">
            <w:r>
              <w:rPr>
                <w:rFonts w:cs="Arial"/>
              </w:rPr>
              <w:t>Fusion Lifestyle</w:t>
            </w:r>
            <w:r w:rsidRPr="007662D9">
              <w:rPr>
                <w:rFonts w:cs="Arial"/>
              </w:rPr>
              <w:t xml:space="preserve"> Annual Service Pla</w:t>
            </w:r>
            <w:r>
              <w:rPr>
                <w:rFonts w:cs="Arial"/>
              </w:rPr>
              <w:t>n</w:t>
            </w:r>
            <w:r w:rsidR="00525EE9">
              <w:rPr>
                <w:rFonts w:cs="Arial"/>
              </w:rPr>
              <w:t xml:space="preserve"> summary 2016/17 (proposed design of finished document)</w:t>
            </w:r>
          </w:p>
        </w:tc>
      </w:tr>
    </w:tbl>
    <w:p w:rsidR="00CE4C87" w:rsidRDefault="00CE4C87" w:rsidP="0093067A"/>
    <w:p w:rsidR="00090B80" w:rsidRDefault="00090B80">
      <w:pPr>
        <w:spacing w:after="0"/>
        <w:rPr>
          <w:b/>
        </w:rPr>
      </w:pPr>
    </w:p>
    <w:p w:rsidR="005073AF" w:rsidRDefault="005073AF">
      <w:pPr>
        <w:spacing w:after="0"/>
        <w:rPr>
          <w:b/>
        </w:rPr>
      </w:pPr>
      <w:bookmarkStart w:id="0" w:name="_GoBack"/>
      <w:bookmarkEnd w:id="0"/>
    </w:p>
    <w:sectPr w:rsidR="005073AF"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2B" w:rsidRDefault="00615A2B" w:rsidP="004A6D2F">
      <w:r>
        <w:separator/>
      </w:r>
    </w:p>
  </w:endnote>
  <w:endnote w:type="continuationSeparator" w:id="0">
    <w:p w:rsidR="00615A2B" w:rsidRDefault="00615A2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Do not use a footer or page numbers.</w:t>
    </w:r>
  </w:p>
  <w:p w:rsidR="00D001D7" w:rsidRDefault="00D001D7" w:rsidP="004A6D2F">
    <w:pPr>
      <w:pStyle w:val="Footer"/>
    </w:pPr>
  </w:p>
  <w:p w:rsidR="00D001D7" w:rsidRDefault="00D001D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2B" w:rsidRDefault="00615A2B" w:rsidP="004A6D2F">
      <w:r>
        <w:separator/>
      </w:r>
    </w:p>
  </w:footnote>
  <w:footnote w:type="continuationSeparator" w:id="0">
    <w:p w:rsidR="00615A2B" w:rsidRDefault="00615A2B" w:rsidP="004A6D2F">
      <w:r>
        <w:continuationSeparator/>
      </w:r>
    </w:p>
  </w:footnote>
  <w:footnote w:id="1">
    <w:p w:rsidR="00390243" w:rsidRDefault="00390243" w:rsidP="00390243">
      <w:pPr>
        <w:pStyle w:val="FootnoteText"/>
      </w:pPr>
      <w:r>
        <w:rPr>
          <w:rStyle w:val="FootnoteReference"/>
        </w:rPr>
        <w:footnoteRef/>
      </w:r>
      <w:r>
        <w:t xml:space="preserve"> Ross, C. Barker, L. and Epsley, S. (2016) Fusion Lifestyle Social impact evaluation of selected projects, London, Fusion Lifestyle and Bates Wells &amp; Braithwaite LLP</w:t>
      </w:r>
    </w:p>
    <w:p w:rsidR="00390243" w:rsidRDefault="00390243" w:rsidP="00390243">
      <w:pPr>
        <w:pStyle w:val="FootnoteText"/>
      </w:pPr>
    </w:p>
  </w:footnote>
  <w:footnote w:id="2">
    <w:p w:rsidR="00B77D29" w:rsidRDefault="00B77D29">
      <w:pPr>
        <w:pStyle w:val="FootnoteText"/>
      </w:pPr>
      <w:r>
        <w:rPr>
          <w:rStyle w:val="FootnoteReference"/>
        </w:rPr>
        <w:footnoteRef/>
      </w:r>
      <w:r>
        <w:t xml:space="preserve"> </w:t>
      </w:r>
      <w:r>
        <w:rPr>
          <w:rFonts w:cs="Arial"/>
          <w:color w:val="222222"/>
          <w:shd w:val="clear" w:color="auto" w:fill="FFFFFF"/>
        </w:rPr>
        <w:t>A greenhouse gas is any gaseous compound in the atmosphere that is capable of absorbing infrared radiation, thereby</w:t>
      </w:r>
      <w:r w:rsidR="00C64FC7">
        <w:rPr>
          <w:rFonts w:cs="Arial"/>
          <w:color w:val="222222"/>
          <w:shd w:val="clear" w:color="auto" w:fill="FFFFFF"/>
        </w:rPr>
        <w:t xml:space="preserve"> trapping and holding heat</w:t>
      </w:r>
      <w:r>
        <w:rPr>
          <w:rFonts w:cs="Arial"/>
          <w:color w:val="222222"/>
          <w:shd w:val="clear" w:color="auto" w:fill="FFFFFF"/>
        </w:rPr>
        <w:t xml:space="preserve"> in the atmosphere. By increasing the heat in the atmosphere, greenhouse gases are responsible for the greenhouse effect, which ultimately leads to global warming.</w:t>
      </w:r>
    </w:p>
  </w:footnote>
  <w:footnote w:id="3">
    <w:p w:rsidR="00390243" w:rsidRDefault="00390243" w:rsidP="00390243">
      <w:pPr>
        <w:pStyle w:val="FootnoteText"/>
      </w:pPr>
      <w:r>
        <w:rPr>
          <w:rStyle w:val="FootnoteReference"/>
        </w:rPr>
        <w:footnoteRef/>
      </w:r>
      <w:r>
        <w:t xml:space="preserve"> The Net Promoter Score is an index ranging from -100 to 100 that measures the willingness of customers to recommend a company’s products or services to others. It is used as a proxy for gauging the customer’s overall satisfaction with a company’s product or service and the customer’s loyalty to the brand.</w:t>
      </w:r>
    </w:p>
  </w:footnote>
  <w:footnote w:id="4">
    <w:p w:rsidR="00D001D7" w:rsidRDefault="00D001D7" w:rsidP="004E7BE4">
      <w:pPr>
        <w:pStyle w:val="FootnoteText"/>
      </w:pPr>
      <w:r>
        <w:rPr>
          <w:rStyle w:val="FootnoteReference"/>
        </w:rPr>
        <w:footnoteRef/>
      </w:r>
      <w:r>
        <w:t xml:space="preserve">  Based on April 2016 to February 2017 visits</w:t>
      </w:r>
    </w:p>
  </w:footnote>
  <w:footnote w:id="5">
    <w:p w:rsidR="00D001D7" w:rsidRDefault="00D001D7" w:rsidP="004E7BE4">
      <w:pPr>
        <w:pStyle w:val="FootnoteText"/>
      </w:pPr>
      <w:r>
        <w:rPr>
          <w:rStyle w:val="FootnoteReference"/>
        </w:rPr>
        <w:footnoteRef/>
      </w:r>
      <w:r>
        <w:t xml:space="preserve"> Young People, Older people, those with disabilities, BAME and those from areas of deprivation.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64346E" w:rsidP="00D5547E">
    <w:pPr>
      <w:pStyle w:val="Header"/>
      <w:jc w:val="right"/>
    </w:pPr>
    <w:r>
      <w:rPr>
        <w:noProof/>
      </w:rPr>
      <w:drawing>
        <wp:inline distT="0" distB="0" distL="0" distR="0" wp14:anchorId="4DAF12B0" wp14:editId="506CDAEE">
          <wp:extent cx="836930" cy="1120775"/>
          <wp:effectExtent l="0" t="0" r="1270" b="317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0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605B8F"/>
    <w:multiLevelType w:val="hybridMultilevel"/>
    <w:tmpl w:val="6D0278AE"/>
    <w:lvl w:ilvl="0" w:tplc="2422AE62">
      <w:start w:val="7"/>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FA7586"/>
    <w:multiLevelType w:val="hybridMultilevel"/>
    <w:tmpl w:val="FDDC8A64"/>
    <w:lvl w:ilvl="0" w:tplc="0D1C296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E539DE"/>
    <w:multiLevelType w:val="hybridMultilevel"/>
    <w:tmpl w:val="C0782CCA"/>
    <w:lvl w:ilvl="0" w:tplc="767CDC1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5F5306"/>
    <w:multiLevelType w:val="hybridMultilevel"/>
    <w:tmpl w:val="B4E085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CD2E4E"/>
    <w:multiLevelType w:val="hybridMultilevel"/>
    <w:tmpl w:val="611AAC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F05F1E"/>
    <w:multiLevelType w:val="hybridMultilevel"/>
    <w:tmpl w:val="BC3022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4023C78"/>
    <w:multiLevelType w:val="hybridMultilevel"/>
    <w:tmpl w:val="3D1CCF5A"/>
    <w:lvl w:ilvl="0" w:tplc="3A7054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8365C6"/>
    <w:multiLevelType w:val="multilevel"/>
    <w:tmpl w:val="E67CE66C"/>
    <w:numStyleLink w:val="StyleNumberedLeft0cmHanging075cm"/>
  </w:abstractNum>
  <w:num w:numId="1">
    <w:abstractNumId w:val="32"/>
  </w:num>
  <w:num w:numId="2">
    <w:abstractNumId w:val="40"/>
  </w:num>
  <w:num w:numId="3">
    <w:abstractNumId w:val="27"/>
  </w:num>
  <w:num w:numId="4">
    <w:abstractNumId w:val="21"/>
  </w:num>
  <w:num w:numId="5">
    <w:abstractNumId w:val="36"/>
  </w:num>
  <w:num w:numId="6">
    <w:abstractNumId w:val="41"/>
  </w:num>
  <w:num w:numId="7">
    <w:abstractNumId w:val="26"/>
  </w:num>
  <w:num w:numId="8">
    <w:abstractNumId w:val="24"/>
  </w:num>
  <w:num w:numId="9">
    <w:abstractNumId w:val="14"/>
  </w:num>
  <w:num w:numId="10">
    <w:abstractNumId w:val="17"/>
  </w:num>
  <w:num w:numId="11">
    <w:abstractNumId w:val="30"/>
  </w:num>
  <w:num w:numId="12">
    <w:abstractNumId w:val="28"/>
  </w:num>
  <w:num w:numId="13">
    <w:abstractNumId w:val="10"/>
  </w:num>
  <w:num w:numId="14">
    <w:abstractNumId w:val="45"/>
  </w:num>
  <w:num w:numId="15">
    <w:abstractNumId w:val="18"/>
  </w:num>
  <w:num w:numId="16">
    <w:abstractNumId w:val="11"/>
  </w:num>
  <w:num w:numId="17">
    <w:abstractNumId w:val="35"/>
  </w:num>
  <w:num w:numId="18">
    <w:abstractNumId w:val="12"/>
  </w:num>
  <w:num w:numId="19">
    <w:abstractNumId w:val="38"/>
  </w:num>
  <w:num w:numId="20">
    <w:abstractNumId w:val="19"/>
  </w:num>
  <w:num w:numId="21">
    <w:abstractNumId w:val="25"/>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23"/>
  </w:num>
  <w:num w:numId="36">
    <w:abstractNumId w:val="31"/>
  </w:num>
  <w:num w:numId="37">
    <w:abstractNumId w:val="20"/>
  </w:num>
  <w:num w:numId="38">
    <w:abstractNumId w:val="16"/>
  </w:num>
  <w:num w:numId="39">
    <w:abstractNumId w:val="37"/>
  </w:num>
  <w:num w:numId="40">
    <w:abstractNumId w:val="34"/>
  </w:num>
  <w:num w:numId="41">
    <w:abstractNumId w:val="13"/>
  </w:num>
  <w:num w:numId="42">
    <w:abstractNumId w:val="42"/>
  </w:num>
  <w:num w:numId="43">
    <w:abstractNumId w:val="22"/>
  </w:num>
  <w:num w:numId="44">
    <w:abstractNumId w:val="43"/>
  </w:num>
  <w:num w:numId="45">
    <w:abstractNumId w:val="29"/>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6E"/>
    <w:rsid w:val="0000310A"/>
    <w:rsid w:val="000117D4"/>
    <w:rsid w:val="000314D7"/>
    <w:rsid w:val="00045F8B"/>
    <w:rsid w:val="00046D2B"/>
    <w:rsid w:val="00056263"/>
    <w:rsid w:val="00064D8A"/>
    <w:rsid w:val="00064F82"/>
    <w:rsid w:val="00066510"/>
    <w:rsid w:val="00077523"/>
    <w:rsid w:val="00090B80"/>
    <w:rsid w:val="000B1444"/>
    <w:rsid w:val="000C089F"/>
    <w:rsid w:val="000C1F1F"/>
    <w:rsid w:val="000C3928"/>
    <w:rsid w:val="000C5E8E"/>
    <w:rsid w:val="000E23AC"/>
    <w:rsid w:val="000F0813"/>
    <w:rsid w:val="000F4751"/>
    <w:rsid w:val="0010524C"/>
    <w:rsid w:val="00111FB1"/>
    <w:rsid w:val="00113418"/>
    <w:rsid w:val="001268E4"/>
    <w:rsid w:val="001356F1"/>
    <w:rsid w:val="00136994"/>
    <w:rsid w:val="0014128E"/>
    <w:rsid w:val="00151888"/>
    <w:rsid w:val="00170A2D"/>
    <w:rsid w:val="001742DD"/>
    <w:rsid w:val="001808BC"/>
    <w:rsid w:val="00182B81"/>
    <w:rsid w:val="0018619D"/>
    <w:rsid w:val="001A011E"/>
    <w:rsid w:val="001A066A"/>
    <w:rsid w:val="001A13E6"/>
    <w:rsid w:val="001A497D"/>
    <w:rsid w:val="001A5731"/>
    <w:rsid w:val="001B42C3"/>
    <w:rsid w:val="001C5D5E"/>
    <w:rsid w:val="001D678D"/>
    <w:rsid w:val="001E03F8"/>
    <w:rsid w:val="001E1678"/>
    <w:rsid w:val="001E3376"/>
    <w:rsid w:val="001F4DAC"/>
    <w:rsid w:val="002069B3"/>
    <w:rsid w:val="002329CF"/>
    <w:rsid w:val="00232F5B"/>
    <w:rsid w:val="00247C29"/>
    <w:rsid w:val="00250124"/>
    <w:rsid w:val="00260467"/>
    <w:rsid w:val="00263EA3"/>
    <w:rsid w:val="00284F85"/>
    <w:rsid w:val="00290915"/>
    <w:rsid w:val="002A22E2"/>
    <w:rsid w:val="002A713B"/>
    <w:rsid w:val="002C64F7"/>
    <w:rsid w:val="002F41F2"/>
    <w:rsid w:val="00301BF3"/>
    <w:rsid w:val="0030208D"/>
    <w:rsid w:val="00323418"/>
    <w:rsid w:val="003357BF"/>
    <w:rsid w:val="003425F0"/>
    <w:rsid w:val="00355353"/>
    <w:rsid w:val="00364E51"/>
    <w:rsid w:val="00364FAD"/>
    <w:rsid w:val="0036738F"/>
    <w:rsid w:val="0036759C"/>
    <w:rsid w:val="00367AE5"/>
    <w:rsid w:val="00367D71"/>
    <w:rsid w:val="0038150A"/>
    <w:rsid w:val="00390243"/>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5E64"/>
    <w:rsid w:val="00462AB5"/>
    <w:rsid w:val="00465EAF"/>
    <w:rsid w:val="004738C5"/>
    <w:rsid w:val="00491046"/>
    <w:rsid w:val="004A2AC7"/>
    <w:rsid w:val="004A6D2F"/>
    <w:rsid w:val="004B48AF"/>
    <w:rsid w:val="004C2887"/>
    <w:rsid w:val="004D2626"/>
    <w:rsid w:val="004D6E26"/>
    <w:rsid w:val="004D77D3"/>
    <w:rsid w:val="004E2959"/>
    <w:rsid w:val="004E7BE4"/>
    <w:rsid w:val="004F20EF"/>
    <w:rsid w:val="004F36FA"/>
    <w:rsid w:val="0050321C"/>
    <w:rsid w:val="005073AF"/>
    <w:rsid w:val="00525EE9"/>
    <w:rsid w:val="0054712D"/>
    <w:rsid w:val="00547EF6"/>
    <w:rsid w:val="005570B5"/>
    <w:rsid w:val="005573A4"/>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15A2B"/>
    <w:rsid w:val="00623C2F"/>
    <w:rsid w:val="00633578"/>
    <w:rsid w:val="00637068"/>
    <w:rsid w:val="0064346E"/>
    <w:rsid w:val="00650811"/>
    <w:rsid w:val="00661D3E"/>
    <w:rsid w:val="006815D1"/>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65D6"/>
    <w:rsid w:val="00737B93"/>
    <w:rsid w:val="00745BF0"/>
    <w:rsid w:val="007615FE"/>
    <w:rsid w:val="0076655C"/>
    <w:rsid w:val="007742DC"/>
    <w:rsid w:val="00791437"/>
    <w:rsid w:val="007B0C2C"/>
    <w:rsid w:val="007B278E"/>
    <w:rsid w:val="007B5E0A"/>
    <w:rsid w:val="007C5C23"/>
    <w:rsid w:val="007E2A26"/>
    <w:rsid w:val="007F2348"/>
    <w:rsid w:val="00803F07"/>
    <w:rsid w:val="0080749A"/>
    <w:rsid w:val="00821FB8"/>
    <w:rsid w:val="00822ACD"/>
    <w:rsid w:val="00855C66"/>
    <w:rsid w:val="00871EE4"/>
    <w:rsid w:val="00883DEB"/>
    <w:rsid w:val="008840CE"/>
    <w:rsid w:val="00893319"/>
    <w:rsid w:val="008B293F"/>
    <w:rsid w:val="008B7371"/>
    <w:rsid w:val="008D3DDB"/>
    <w:rsid w:val="008F2B3F"/>
    <w:rsid w:val="008F573F"/>
    <w:rsid w:val="009034EC"/>
    <w:rsid w:val="009245AB"/>
    <w:rsid w:val="0093067A"/>
    <w:rsid w:val="00941C60"/>
    <w:rsid w:val="00966D42"/>
    <w:rsid w:val="00971689"/>
    <w:rsid w:val="00973E90"/>
    <w:rsid w:val="00975B07"/>
    <w:rsid w:val="00980B4A"/>
    <w:rsid w:val="009C3EF1"/>
    <w:rsid w:val="009E3D0A"/>
    <w:rsid w:val="009E51FC"/>
    <w:rsid w:val="009E796D"/>
    <w:rsid w:val="009F1D28"/>
    <w:rsid w:val="009F7618"/>
    <w:rsid w:val="00A04D23"/>
    <w:rsid w:val="00A06766"/>
    <w:rsid w:val="00A13765"/>
    <w:rsid w:val="00A21B12"/>
    <w:rsid w:val="00A23F80"/>
    <w:rsid w:val="00A46E98"/>
    <w:rsid w:val="00A6352B"/>
    <w:rsid w:val="00A701B5"/>
    <w:rsid w:val="00A714BB"/>
    <w:rsid w:val="00A92D8F"/>
    <w:rsid w:val="00AB114E"/>
    <w:rsid w:val="00AB2988"/>
    <w:rsid w:val="00AB7999"/>
    <w:rsid w:val="00AD3292"/>
    <w:rsid w:val="00AE7AF0"/>
    <w:rsid w:val="00B45EBF"/>
    <w:rsid w:val="00B500CA"/>
    <w:rsid w:val="00B77D29"/>
    <w:rsid w:val="00B86314"/>
    <w:rsid w:val="00B97F86"/>
    <w:rsid w:val="00BA1C2E"/>
    <w:rsid w:val="00BB3C9E"/>
    <w:rsid w:val="00BC200B"/>
    <w:rsid w:val="00BC4756"/>
    <w:rsid w:val="00BC69A4"/>
    <w:rsid w:val="00BE0680"/>
    <w:rsid w:val="00BE305F"/>
    <w:rsid w:val="00BE7BA3"/>
    <w:rsid w:val="00BF5682"/>
    <w:rsid w:val="00BF7B09"/>
    <w:rsid w:val="00C05C8D"/>
    <w:rsid w:val="00C0765F"/>
    <w:rsid w:val="00C20A95"/>
    <w:rsid w:val="00C2692F"/>
    <w:rsid w:val="00C30148"/>
    <w:rsid w:val="00C3207C"/>
    <w:rsid w:val="00C400E1"/>
    <w:rsid w:val="00C41187"/>
    <w:rsid w:val="00C46A7D"/>
    <w:rsid w:val="00C63C31"/>
    <w:rsid w:val="00C64FC7"/>
    <w:rsid w:val="00C757A0"/>
    <w:rsid w:val="00C760DE"/>
    <w:rsid w:val="00C82630"/>
    <w:rsid w:val="00C85B4E"/>
    <w:rsid w:val="00C907F7"/>
    <w:rsid w:val="00CA2103"/>
    <w:rsid w:val="00CA4B03"/>
    <w:rsid w:val="00CB6B99"/>
    <w:rsid w:val="00CC36F5"/>
    <w:rsid w:val="00CE4C87"/>
    <w:rsid w:val="00CE544A"/>
    <w:rsid w:val="00D001D7"/>
    <w:rsid w:val="00D11E1C"/>
    <w:rsid w:val="00D160B0"/>
    <w:rsid w:val="00D165BB"/>
    <w:rsid w:val="00D17F94"/>
    <w:rsid w:val="00D223FC"/>
    <w:rsid w:val="00D26D1E"/>
    <w:rsid w:val="00D474CF"/>
    <w:rsid w:val="00D5547E"/>
    <w:rsid w:val="00D869A1"/>
    <w:rsid w:val="00DA413F"/>
    <w:rsid w:val="00DA4584"/>
    <w:rsid w:val="00DA614B"/>
    <w:rsid w:val="00DC3060"/>
    <w:rsid w:val="00DD0CE9"/>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30F5"/>
    <w:rsid w:val="00F3566E"/>
    <w:rsid w:val="00F375FB"/>
    <w:rsid w:val="00F41AC1"/>
    <w:rsid w:val="00F4367A"/>
    <w:rsid w:val="00F445B1"/>
    <w:rsid w:val="00F45CD4"/>
    <w:rsid w:val="00F66DCA"/>
    <w:rsid w:val="00F74F53"/>
    <w:rsid w:val="00F7606D"/>
    <w:rsid w:val="00F81670"/>
    <w:rsid w:val="00F82024"/>
    <w:rsid w:val="00F86532"/>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B77D29"/>
    <w:pPr>
      <w:spacing w:after="160" w:line="240" w:lineRule="exact"/>
    </w:pPr>
    <w:rPr>
      <w:rFonts w:ascii="Verdana" w:hAnsi="Verdana"/>
      <w:color w:val="auto"/>
      <w:lang w:val="en-US" w:eastAsia="en-US"/>
    </w:rPr>
  </w:style>
  <w:style w:type="character" w:customStyle="1" w:styleId="apple-converted-space">
    <w:name w:val="apple-converted-space"/>
    <w:basedOn w:val="DefaultParagraphFont"/>
    <w:rsid w:val="00B7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B77D29"/>
    <w:pPr>
      <w:spacing w:after="160" w:line="240" w:lineRule="exact"/>
    </w:pPr>
    <w:rPr>
      <w:rFonts w:ascii="Verdana" w:hAnsi="Verdana"/>
      <w:color w:val="auto"/>
      <w:lang w:val="en-US" w:eastAsia="en-US"/>
    </w:rPr>
  </w:style>
  <w:style w:type="character" w:customStyle="1" w:styleId="apple-converted-space">
    <w:name w:val="apple-converted-space"/>
    <w:basedOn w:val="DefaultParagraphFont"/>
    <w:rsid w:val="00B7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6470-85A9-4FB7-8A49-F615A07F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2B43D009</Template>
  <TotalTime>62</TotalTime>
  <Pages>7</Pages>
  <Words>2019</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lcherry</dc:creator>
  <cp:lastModifiedBy>sclaridge</cp:lastModifiedBy>
  <cp:revision>5</cp:revision>
  <cp:lastPrinted>2015-07-03T13:50:00Z</cp:lastPrinted>
  <dcterms:created xsi:type="dcterms:W3CDTF">2017-05-03T10:34:00Z</dcterms:created>
  <dcterms:modified xsi:type="dcterms:W3CDTF">2017-05-03T13:19:00Z</dcterms:modified>
</cp:coreProperties>
</file>

<file path=docProps/custom.xml><?xml version="1.0" encoding="utf-8"?>
<op:Properties xmlns:op="http://schemas.openxmlformats.org/officeDocument/2006/custom-properties"/>
</file>